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00EE" w14:textId="77777777" w:rsidR="00600BF1" w:rsidRPr="004F54D9" w:rsidRDefault="001074C9" w:rsidP="00F27C1F">
      <w:pPr>
        <w:pStyle w:val="NormalWeb"/>
        <w:spacing w:after="200" w:line="480" w:lineRule="auto"/>
        <w:rPr>
          <w:rFonts w:ascii="gotham" w:hAnsi="gotham"/>
          <w:color w:val="383838"/>
        </w:rPr>
      </w:pPr>
      <w:r>
        <w:rPr>
          <w:rStyle w:val="Strong"/>
          <w:rFonts w:ascii="Courier New" w:hAnsi="Courier New" w:cs="Courier New"/>
          <w:color w:val="383838"/>
        </w:rPr>
        <w:t>How the Army</w:t>
      </w:r>
      <w:r w:rsidR="00600BF1" w:rsidRPr="004F54D9">
        <w:rPr>
          <w:rStyle w:val="Strong"/>
          <w:rFonts w:ascii="Courier New" w:hAnsi="Courier New" w:cs="Courier New"/>
          <w:color w:val="383838"/>
        </w:rPr>
        <w:t xml:space="preserve"> Ought to Write Requirements</w:t>
      </w:r>
    </w:p>
    <w:p w14:paraId="666100EF" w14:textId="20B8282C" w:rsidR="00600BF1" w:rsidRPr="004F54D9" w:rsidRDefault="00F27C1F" w:rsidP="00F27C1F">
      <w:pPr>
        <w:pStyle w:val="NormalWeb"/>
        <w:spacing w:after="200" w:line="480" w:lineRule="auto"/>
        <w:rPr>
          <w:rFonts w:ascii="Courier New" w:hAnsi="Courier New" w:cs="Courier New"/>
          <w:color w:val="383838"/>
        </w:rPr>
      </w:pPr>
      <w:r>
        <w:rPr>
          <w:rFonts w:ascii="Courier New" w:hAnsi="Courier New" w:cs="Courier New"/>
          <w:color w:val="383838"/>
        </w:rPr>
        <w:t>Lt. Col.</w:t>
      </w:r>
      <w:r w:rsidR="00600BF1" w:rsidRPr="004F54D9">
        <w:rPr>
          <w:rFonts w:ascii="Courier New" w:hAnsi="Courier New" w:cs="Courier New"/>
          <w:color w:val="383838"/>
        </w:rPr>
        <w:t xml:space="preserve"> Thomas “Bull” Holland, </w:t>
      </w:r>
      <w:r w:rsidR="000039C1">
        <w:rPr>
          <w:rFonts w:ascii="Courier New" w:hAnsi="Courier New" w:cs="Courier New"/>
          <w:color w:val="383838"/>
        </w:rPr>
        <w:t xml:space="preserve">PhD, </w:t>
      </w:r>
      <w:r w:rsidR="00600BF1" w:rsidRPr="004F54D9">
        <w:rPr>
          <w:rFonts w:ascii="Courier New" w:hAnsi="Courier New" w:cs="Courier New"/>
          <w:color w:val="383838"/>
        </w:rPr>
        <w:t>U.S. Army</w:t>
      </w:r>
    </w:p>
    <w:p w14:paraId="666CD977" w14:textId="77777777" w:rsidR="00F27C1F" w:rsidRDefault="00F27C1F" w:rsidP="004F54D9">
      <w:pPr>
        <w:spacing w:after="0" w:line="480" w:lineRule="auto"/>
        <w:rPr>
          <w:rFonts w:ascii="Courier New" w:eastAsia="Times New Roman" w:hAnsi="Courier New" w:cs="Courier New"/>
          <w:color w:val="383838"/>
          <w:sz w:val="24"/>
          <w:szCs w:val="24"/>
        </w:rPr>
      </w:pPr>
    </w:p>
    <w:p w14:paraId="070DCFDB" w14:textId="5846657B" w:rsidR="00F27C1F" w:rsidRPr="00932846" w:rsidRDefault="00D46395" w:rsidP="00932846">
      <w:pPr>
        <w:spacing w:after="0" w:line="240" w:lineRule="auto"/>
        <w:ind w:left="720" w:right="720"/>
        <w:rPr>
          <w:rFonts w:ascii="Courier New" w:eastAsia="Times New Roman" w:hAnsi="Courier New" w:cs="Courier New"/>
          <w:i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i/>
          <w:color w:val="383838"/>
          <w:sz w:val="24"/>
          <w:szCs w:val="24"/>
        </w:rPr>
        <w:t>The world that we have made as a result of the level of thinking we done thus far creates problems that we cannot solve at the same as the level we created them at</w:t>
      </w:r>
      <w:r w:rsidR="00F27C1F" w:rsidRPr="00932846">
        <w:rPr>
          <w:rFonts w:ascii="Courier New" w:eastAsia="Times New Roman" w:hAnsi="Courier New" w:cs="Courier New"/>
          <w:i/>
          <w:color w:val="383838"/>
          <w:sz w:val="24"/>
          <w:szCs w:val="24"/>
        </w:rPr>
        <w:t>.</w:t>
      </w:r>
    </w:p>
    <w:p w14:paraId="666100F0" w14:textId="625E9AF8" w:rsidR="00600BF1" w:rsidRPr="00600BF1" w:rsidRDefault="00F27C1F" w:rsidP="006243AE">
      <w:pPr>
        <w:spacing w:after="0" w:line="480" w:lineRule="auto"/>
        <w:ind w:left="720" w:right="720"/>
        <w:jc w:val="right"/>
        <w:rPr>
          <w:rFonts w:ascii="gotham" w:eastAsia="Times New Roman" w:hAnsi="gotham" w:cs="Times New Roman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Albert Einstein</w:t>
      </w:r>
    </w:p>
    <w:p w14:paraId="666100F1" w14:textId="77777777" w:rsidR="00600BF1" w:rsidRPr="00600BF1" w:rsidRDefault="00600BF1" w:rsidP="004F54D9">
      <w:pPr>
        <w:spacing w:after="0" w:line="480" w:lineRule="auto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 </w:t>
      </w:r>
    </w:p>
    <w:p w14:paraId="666100F2" w14:textId="418AD5EC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U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S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F27C1F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Army</w:t>
      </w:r>
      <w:r w:rsidR="00A15D1D">
        <w:rPr>
          <w:rFonts w:ascii="Courier New" w:eastAsia="Times New Roman" w:hAnsi="Courier New" w:cs="Courier New"/>
          <w:color w:val="383838"/>
          <w:sz w:val="24"/>
          <w:szCs w:val="24"/>
        </w:rPr>
        <w:t>’</w:t>
      </w:r>
      <w:r w:rsidR="00F27C1F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recent history is replete with spectacular </w:t>
      </w:r>
      <w:r w:rsidR="0012507C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program failures. An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incalculable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number of meetings, symposia, working groups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studies have been dedicated to </w:t>
      </w:r>
      <w:r w:rsidR="00A15D1D">
        <w:rPr>
          <w:rFonts w:ascii="Courier New" w:eastAsia="Times New Roman" w:hAnsi="Courier New" w:cs="Courier New"/>
          <w:color w:val="383838"/>
          <w:sz w:val="24"/>
          <w:szCs w:val="24"/>
        </w:rPr>
        <w:t>“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righting the wrongs</w:t>
      </w:r>
      <w:r w:rsidR="00A15D1D">
        <w:rPr>
          <w:rFonts w:ascii="Courier New" w:eastAsia="Times New Roman" w:hAnsi="Courier New" w:cs="Courier New"/>
          <w:color w:val="383838"/>
          <w:sz w:val="24"/>
          <w:szCs w:val="24"/>
        </w:rPr>
        <w:t>”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in Army </w:t>
      </w:r>
      <w:r w:rsidR="0012507C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cquisition.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As the failure of Defense Innovation Unit Experimental 1.0 proved, mimicking the behavior of innovators is not the same as a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dopting a culture of innovation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“</w:t>
      </w:r>
      <w:r w:rsidR="0012507C">
        <w:rPr>
          <w:rFonts w:ascii="Courier New" w:eastAsia="Times New Roman" w:hAnsi="Courier New" w:cs="Courier New"/>
          <w:color w:val="383838"/>
          <w:sz w:val="24"/>
          <w:szCs w:val="24"/>
        </w:rPr>
        <w:t>f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ail </w:t>
      </w:r>
      <w:r w:rsidR="0012507C">
        <w:rPr>
          <w:rFonts w:ascii="Courier New" w:eastAsia="Times New Roman" w:hAnsi="Courier New" w:cs="Courier New"/>
          <w:color w:val="383838"/>
          <w:sz w:val="24"/>
          <w:szCs w:val="24"/>
        </w:rPr>
        <w:t>f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ast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”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mentality of successful innovators is predicated on collecting and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analyzing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evidence about customer needs (i.e.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requirements).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Army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’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 lack of an </w:t>
      </w:r>
      <w:r w:rsidR="00D461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based requirements system is a consistent cause of failure in Army </w:t>
      </w:r>
      <w:r w:rsidR="0012507C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cquisition programs.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Army should adopt a consistently proven industry method for writing the best requirements.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</w:p>
    <w:p w14:paraId="666100F3" w14:textId="77777777" w:rsidR="00600BF1" w:rsidRPr="00600BF1" w:rsidRDefault="00600BF1" w:rsidP="004F54D9">
      <w:pPr>
        <w:spacing w:after="0" w:line="480" w:lineRule="auto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</w:rPr>
        <w:t>Failure</w:t>
      </w:r>
    </w:p>
    <w:p w14:paraId="666100F4" w14:textId="3AF091E6" w:rsidR="009D2A3F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In his 2015 testimony to the Senate</w:t>
      </w:r>
      <w:r w:rsidR="00E023FA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Secretary o</w:t>
      </w:r>
      <w:r w:rsidR="009D2A3F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f the Army John McHugh stated, </w:t>
      </w:r>
      <w:r w:rsidR="00925C47"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“</w:t>
      </w:r>
      <w:r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The Army</w:t>
      </w:r>
      <w:r w:rsidR="00925C47"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’</w:t>
      </w:r>
      <w:r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s track record on acquisition </w:t>
      </w:r>
      <w:r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lastRenderedPageBreak/>
        <w:t>programs is</w:t>
      </w:r>
      <w:r w:rsidR="009D2A3F"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too often a tale of failure</w:t>
      </w:r>
      <w:r w:rsidR="00A5548B"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.</w:t>
      </w:r>
      <w:r w:rsidR="00925C47" w:rsidRPr="00201B9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”</w:t>
      </w:r>
      <w:r w:rsidR="00357AA0" w:rsidRPr="00201B98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shd w:val="clear" w:color="auto" w:fill="FFFFFF"/>
          <w:vertAlign w:val="superscript"/>
        </w:rPr>
        <w:t>2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There is rarely a single, identifiable root cause for the failure of any </w:t>
      </w:r>
      <w:r w:rsidR="0012507C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a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cquisition program.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Many of the problems with an </w:t>
      </w:r>
      <w:r w:rsidR="00D4619D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a</w:t>
      </w:r>
      <w:r w:rsidR="00D4619D"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cquisition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program can be overcome after the program is initiated and the error is detected. Decision makers may end a program because the cost of correcting management errors or funding errors is too expensive, but the regulatory tools to make those changes are available.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The one error no </w:t>
      </w:r>
      <w:r w:rsidR="00D4619D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a</w:t>
      </w:r>
      <w:r w:rsidR="00D4619D"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cquisition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program can survive is the one the Army makes all too often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—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the wrong requirement.</w:t>
      </w:r>
    </w:p>
    <w:p w14:paraId="666100F5" w14:textId="0FBD5756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The Army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’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s most significant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acquisition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 program failure is the Future Combat System (FCS).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With a planned cost of almost $200 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b</w:t>
      </w:r>
      <w:r w:rsidR="00BF55A1"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illion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, </w:t>
      </w:r>
      <w:r w:rsidR="00E023FA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the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FCS is still the most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financially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 ambitious program ever attempted by the Army.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 </w:t>
      </w:r>
      <w:r w:rsidR="00E023FA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The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FCS failed for many reasons but shortcomings with requirements were cited as central to the program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’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s failure.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One of the many requirements </w:t>
      </w:r>
      <w:r w:rsidR="0082006D"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failure</w:t>
      </w:r>
      <w:r w:rsidR="0082006D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related lessons learned from the analysis was that </w:t>
      </w:r>
      <w:r w:rsidR="00925C47" w:rsidRPr="00201B98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“</w:t>
      </w:r>
      <w:r w:rsidRPr="00201B98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insufficient analysis and mismanagement of expectations can lead to unrealistically ambitious</w:t>
      </w:r>
      <w:r w:rsidR="00D179C0" w:rsidRPr="00201B98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 xml:space="preserve"> requirements</w:t>
      </w:r>
      <w:r w:rsidR="00A5548B" w:rsidRPr="00201B98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.</w:t>
      </w:r>
      <w:r w:rsidR="00925C47" w:rsidRPr="00201B98">
        <w:rPr>
          <w:rFonts w:ascii="Courier New" w:eastAsia="Times New Roman" w:hAnsi="Courier New" w:cs="Courier New"/>
          <w:color w:val="383838"/>
          <w:sz w:val="24"/>
          <w:szCs w:val="24"/>
          <w:shd w:val="clear" w:color="auto" w:fill="FFFFFF"/>
        </w:rPr>
        <w:t>”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shd w:val="clear" w:color="auto" w:fill="FFFFFF"/>
          <w:vertAlign w:val="superscript"/>
        </w:rPr>
        <w:t>3</w:t>
      </w:r>
    </w:p>
    <w:p w14:paraId="666100F6" w14:textId="0FAC4D4C" w:rsidR="00CB17AD" w:rsidRDefault="00600BF1" w:rsidP="00CB17AD">
      <w:pPr>
        <w:spacing w:after="0" w:line="480" w:lineRule="auto"/>
        <w:ind w:firstLine="720"/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</w:pP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FCS may have been the largest acquisition failure in the Army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’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s history</w:t>
      </w:r>
      <w:r w:rsidR="00E368C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,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but it certainly was not the only </w:t>
      </w:r>
      <w:r w:rsidRPr="004F54D9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significant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one in recent history.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The Crusader </w:t>
      </w:r>
      <w:r w:rsidR="0012507C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s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elf-propelled artillery and Comanche </w:t>
      </w:r>
      <w:r w:rsidR="0012507C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h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elicopter programs were both expensive failures</w:t>
      </w:r>
      <w:r w:rsidR="00E368C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,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="00D179C0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costing the Army $9</w:t>
      </w:r>
      <w:r w:rsidR="00BF55A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billion</w:t>
      </w:r>
      <w:r w:rsidR="00A5548B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.</w:t>
      </w:r>
      <w:r w:rsidR="00357AA0" w:rsidRPr="00357AA0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shd w:val="clear" w:color="auto" w:fill="FFFFFF"/>
          <w:vertAlign w:val="superscript"/>
        </w:rPr>
        <w:t>4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As was the case with FCS, these two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lastRenderedPageBreak/>
        <w:t xml:space="preserve">programs were based on </w:t>
      </w:r>
      <w:r w:rsidRPr="004F54D9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unrealistic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requirements</w:t>
      </w:r>
      <w:r w:rsidR="00E368C8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,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which no amount of time or money c</w:t>
      </w:r>
      <w:r w:rsidR="0012507C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ould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overcome.</w:t>
      </w:r>
    </w:p>
    <w:p w14:paraId="666100F7" w14:textId="6230F6A8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The Army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’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s challenges with acquisition programs </w:t>
      </w:r>
      <w:r w:rsidR="0012507C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has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not </w:t>
      </w:r>
      <w:r w:rsidR="0012507C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been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limited to developing new-to-the-battlefield technologies.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The Army has also recently struggled to procure some of warfare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’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s most mature technologies.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Chief of Staff of the Army </w:t>
      </w:r>
      <w:r w:rsidR="00BF55A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Gen.</w:t>
      </w:r>
      <w:r w:rsidR="00BF55A1"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Mark Milley asked the following rhetorical questions about the requirements document for the Army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’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s replacement of the 9</w:t>
      </w:r>
      <w:r w:rsidR="00BC447A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 xml:space="preserve">mm pistol: </w:t>
      </w:r>
      <w:r w:rsidR="00925C47">
        <w:rPr>
          <w:rFonts w:ascii="Courier New" w:eastAsia="Times New Roman" w:hAnsi="Courier New" w:cs="Courier New"/>
          <w:color w:val="444444"/>
          <w:sz w:val="24"/>
          <w:szCs w:val="24"/>
          <w:shd w:val="clear" w:color="auto" w:fill="FFFFFF"/>
        </w:rPr>
        <w:t>“</w:t>
      </w:r>
      <w:r w:rsidRPr="00600BF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This thing has been out there for nine years, ten years? Requirements? A 367-pag</w:t>
      </w:r>
      <w:r w:rsidR="00D179C0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e requirement document? Why?</w:t>
      </w:r>
      <w:r w:rsidR="00925C47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”</w:t>
      </w:r>
      <w:r w:rsidR="00357AA0" w:rsidRPr="00357AA0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shd w:val="clear" w:color="auto" w:fill="FFFFFF"/>
          <w:vertAlign w:val="superscript"/>
        </w:rPr>
        <w:t>5</w:t>
      </w:r>
      <w:r w:rsidR="00925C47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Pr="00600BF1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 xml:space="preserve">Each of the cases listed have a common thread: </w:t>
      </w:r>
      <w:r w:rsidRPr="00201B98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opinions were substituted for evidence in the requirements development process.</w:t>
      </w:r>
    </w:p>
    <w:p w14:paraId="666100F8" w14:textId="4C9DC37A" w:rsidR="00600BF1" w:rsidRPr="00600BF1" w:rsidRDefault="00600BF1" w:rsidP="004F54D9">
      <w:pPr>
        <w:spacing w:after="0" w:line="480" w:lineRule="auto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 xml:space="preserve">The </w:t>
      </w:r>
      <w:r w:rsidR="00BF55A1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>W</w:t>
      </w:r>
      <w:r w:rsidR="00BF55A1"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 xml:space="preserve">ay </w:t>
      </w:r>
      <w:r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 xml:space="preserve">the </w:t>
      </w:r>
      <w:r w:rsidR="00BF55A1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>C</w:t>
      </w:r>
      <w:r w:rsidR="00BF55A1"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 xml:space="preserve">urrent </w:t>
      </w:r>
      <w:r w:rsidR="00BF55A1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>P</w:t>
      </w:r>
      <w:r w:rsidR="00BF55A1"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 xml:space="preserve">rocess </w:t>
      </w:r>
      <w:r w:rsidR="00BF55A1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>W</w:t>
      </w:r>
      <w:r w:rsidR="00BF55A1"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  <w:shd w:val="clear" w:color="auto" w:fill="FFFFFF"/>
        </w:rPr>
        <w:t>orks</w:t>
      </w:r>
    </w:p>
    <w:p w14:paraId="666100F9" w14:textId="3D79A80F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A surface</w:t>
      </w:r>
      <w:r w:rsidR="0012507C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level understanding of the Army </w:t>
      </w:r>
      <w:r w:rsidR="00CB0494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CB0494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="009036AF">
        <w:rPr>
          <w:rFonts w:ascii="Courier New" w:eastAsia="Times New Roman" w:hAnsi="Courier New" w:cs="Courier New"/>
          <w:color w:val="383838"/>
          <w:sz w:val="24"/>
          <w:szCs w:val="24"/>
        </w:rPr>
        <w:t>processes</w:t>
      </w:r>
      <w:r w:rsidR="009036AF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reveals why getting requirements right is critical for any acquisition program.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An Army </w:t>
      </w:r>
      <w:r w:rsidR="00CB0494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CB0494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program must use three systems to produce a result: 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BF55A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funding system, a management system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a requirements system.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funding system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Planning, Programming, Budgeting and Execution (PPBE) system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is directed to the Office of the Secretary of Defense (OSD) and by the Office of Managemen</w:t>
      </w:r>
      <w:r w:rsidR="00292469">
        <w:rPr>
          <w:rFonts w:ascii="Courier New" w:eastAsia="Times New Roman" w:hAnsi="Courier New" w:cs="Courier New"/>
          <w:color w:val="383838"/>
          <w:sz w:val="24"/>
          <w:szCs w:val="24"/>
        </w:rPr>
        <w:t>t and Budget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6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management system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Defense Acquisition Management System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is directed by multiple </w:t>
      </w:r>
      <w:r w:rsidR="00D411DD">
        <w:rPr>
          <w:rFonts w:ascii="Courier New" w:eastAsia="Times New Roman" w:hAnsi="Courier New" w:cs="Courier New"/>
          <w:color w:val="383838"/>
          <w:sz w:val="24"/>
          <w:szCs w:val="24"/>
        </w:rPr>
        <w:t>p</w:t>
      </w:r>
      <w:r w:rsidR="00D4639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ublic </w:t>
      </w:r>
      <w:r w:rsidR="00D411DD">
        <w:rPr>
          <w:rFonts w:ascii="Courier New" w:eastAsia="Times New Roman" w:hAnsi="Courier New" w:cs="Courier New"/>
          <w:color w:val="383838"/>
          <w:sz w:val="24"/>
          <w:szCs w:val="24"/>
        </w:rPr>
        <w:t>l</w:t>
      </w:r>
      <w:r w:rsidR="00D46395">
        <w:rPr>
          <w:rFonts w:ascii="Courier New" w:eastAsia="Times New Roman" w:hAnsi="Courier New" w:cs="Courier New"/>
          <w:color w:val="383838"/>
          <w:sz w:val="24"/>
          <w:szCs w:val="24"/>
        </w:rPr>
        <w:t>aws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However</w:t>
      </w:r>
      <w:r w:rsidR="003372B9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the requirements system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Joint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Capabilities Integration and Development System (JCIDS</w:t>
      </w:r>
      <w:r w:rsidR="00D461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)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was created by the Department of Defense (</w:t>
      </w:r>
      <w:r w:rsidR="003372B9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D</w:t>
      </w:r>
      <w:r w:rsidR="003372B9">
        <w:rPr>
          <w:rFonts w:ascii="Courier New" w:eastAsia="Times New Roman" w:hAnsi="Courier New" w:cs="Courier New"/>
          <w:color w:val="383838"/>
          <w:sz w:val="24"/>
          <w:szCs w:val="24"/>
        </w:rPr>
        <w:t>O</w:t>
      </w:r>
      <w:r w:rsidR="003372B9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D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) and is</w:t>
      </w:r>
      <w:r w:rsidR="00292469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still administered by the </w:t>
      </w:r>
      <w:r w:rsidR="003372B9">
        <w:rPr>
          <w:rFonts w:ascii="Courier New" w:eastAsia="Times New Roman" w:hAnsi="Courier New" w:cs="Courier New"/>
          <w:color w:val="383838"/>
          <w:sz w:val="24"/>
          <w:szCs w:val="24"/>
        </w:rPr>
        <w:t>DOD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7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All of the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D461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management decisions and budgeted costs for an Army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D461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program are based on the JCIDS requirements documents; if the requirement is wrong, nothing else can be right.</w:t>
      </w:r>
    </w:p>
    <w:p w14:paraId="666100FA" w14:textId="053F8B6C" w:rsidR="00CB17AD" w:rsidRDefault="006A4C74" w:rsidP="00CB17AD">
      <w:pPr>
        <w:spacing w:after="0" w:line="480" w:lineRule="auto"/>
        <w:ind w:firstLine="720"/>
        <w:rPr>
          <w:rFonts w:ascii="Courier New" w:eastAsia="Times New Roman" w:hAnsi="Courier New" w:cs="Courier New"/>
          <w:color w:val="383838"/>
          <w:sz w:val="24"/>
          <w:szCs w:val="24"/>
        </w:rPr>
      </w:pPr>
      <w:r w:rsidRPr="00201B9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600BF1" w:rsidRPr="00201B9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OSD and each of the services have been requesting changes to </w:t>
      </w:r>
      <w:r w:rsidRPr="00201B98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600BF1" w:rsidRPr="00201B9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laws for as long as there have been </w:t>
      </w:r>
      <w:r w:rsidRPr="00201B9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acquisition </w:t>
      </w:r>
      <w:r w:rsidR="004330AC" w:rsidRPr="00201B98">
        <w:rPr>
          <w:rFonts w:ascii="Courier New" w:eastAsia="Times New Roman" w:hAnsi="Courier New" w:cs="Courier New"/>
          <w:color w:val="383838"/>
          <w:sz w:val="24"/>
          <w:szCs w:val="24"/>
        </w:rPr>
        <w:t>laws</w:t>
      </w:r>
      <w:r w:rsidR="00A5548B" w:rsidRPr="00201B98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8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Requests for changes to the Goldwater-Nichols Act have recently given the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s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ervice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c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hiefs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more power in the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system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9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Also, t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he Weapons System Acquisition Reform Act is a recent law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D461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changed the standards for 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E368C8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cquisit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ion </w:t>
      </w:r>
      <w:r w:rsidR="00554D2B">
        <w:rPr>
          <w:rFonts w:ascii="Courier New" w:eastAsia="Times New Roman" w:hAnsi="Courier New" w:cs="Courier New"/>
          <w:color w:val="383838"/>
          <w:sz w:val="24"/>
          <w:szCs w:val="24"/>
        </w:rPr>
        <w:t>management decisions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BF55A1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BF55A1" w:rsidRPr="0036243E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0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Additionally, t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he Defense Acquisition Workforce Improvement Act changed certification standards across t</w:t>
      </w:r>
      <w:r w:rsidR="00554D2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he 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>DOD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Clinger-Cohen act established the role of a </w:t>
      </w:r>
      <w:r w:rsidR="005F32EB">
        <w:rPr>
          <w:rFonts w:ascii="Courier New" w:eastAsia="Times New Roman" w:hAnsi="Courier New" w:cs="Courier New"/>
          <w:color w:val="383838"/>
          <w:sz w:val="24"/>
          <w:szCs w:val="24"/>
        </w:rPr>
        <w:t>c</w:t>
      </w:r>
      <w:r w:rsidR="005F32E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hief </w:t>
      </w:r>
      <w:r w:rsidR="005F32EB">
        <w:rPr>
          <w:rFonts w:ascii="Courier New" w:eastAsia="Times New Roman" w:hAnsi="Courier New" w:cs="Courier New"/>
          <w:color w:val="383838"/>
          <w:sz w:val="24"/>
          <w:szCs w:val="24"/>
        </w:rPr>
        <w:t>i</w:t>
      </w:r>
      <w:r w:rsidR="005F32E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nformation </w:t>
      </w:r>
      <w:r w:rsidR="005F32EB">
        <w:rPr>
          <w:rFonts w:ascii="Courier New" w:eastAsia="Times New Roman" w:hAnsi="Courier New" w:cs="Courier New"/>
          <w:color w:val="383838"/>
          <w:sz w:val="24"/>
          <w:szCs w:val="24"/>
        </w:rPr>
        <w:t>o</w:t>
      </w:r>
      <w:r w:rsidR="005F32E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fficer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in each </w:t>
      </w:r>
      <w:r w:rsidR="005F32EB">
        <w:rPr>
          <w:rFonts w:ascii="Courier New" w:eastAsia="Times New Roman" w:hAnsi="Courier New" w:cs="Courier New"/>
          <w:color w:val="383838"/>
          <w:sz w:val="24"/>
          <w:szCs w:val="24"/>
        </w:rPr>
        <w:t>s</w:t>
      </w:r>
      <w:r w:rsidR="005F32E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ervice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5F32E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and the recent Federal Information Technology Acquisition Reform Act </w:t>
      </w:r>
      <w:r w:rsidR="00292469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further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empowered these 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>chief information officers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A9381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to execute </w:t>
      </w:r>
      <w:r w:rsidR="005F32E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acquisition </w:t>
      </w:r>
      <w:r w:rsidR="00A9381B">
        <w:rPr>
          <w:rFonts w:ascii="Courier New" w:eastAsia="Times New Roman" w:hAnsi="Courier New" w:cs="Courier New"/>
          <w:color w:val="383838"/>
          <w:sz w:val="24"/>
          <w:szCs w:val="24"/>
        </w:rPr>
        <w:t>programs</w:t>
      </w:r>
      <w:r w:rsidR="00A5548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BF55A1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2</w:t>
      </w:r>
      <w:r w:rsidR="00B879A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number of </w:t>
      </w:r>
      <w:r w:rsidR="0083094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additional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requested changes </w:t>
      </w:r>
      <w:r w:rsidR="005F32EB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5F32E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became neither policy nor law are too numerous to list.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Through all of these legal and policy changes</w:t>
      </w:r>
      <w:r w:rsidR="00E368C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the one system that has remained mostly unchanged is also the one system over which the </w:t>
      </w:r>
      <w:r w:rsidR="00571344">
        <w:rPr>
          <w:rFonts w:ascii="Courier New" w:eastAsia="Times New Roman" w:hAnsi="Courier New" w:cs="Courier New"/>
          <w:color w:val="383838"/>
          <w:sz w:val="24"/>
          <w:szCs w:val="24"/>
        </w:rPr>
        <w:t>DOD</w:t>
      </w:r>
      <w:r w:rsidR="00571344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has almost total change authority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—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JCIDS.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Understanding the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requirements de</w:t>
      </w:r>
      <w:r w:rsidR="00B879AB">
        <w:rPr>
          <w:rFonts w:ascii="Courier New" w:eastAsia="Times New Roman" w:hAnsi="Courier New" w:cs="Courier New"/>
          <w:color w:val="383838"/>
          <w:sz w:val="24"/>
          <w:szCs w:val="24"/>
        </w:rPr>
        <w:t>velopment process reveals why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the process does not change.</w:t>
      </w:r>
    </w:p>
    <w:p w14:paraId="66610101" w14:textId="48CE823D" w:rsidR="00B879AB" w:rsidRPr="0036243E" w:rsidRDefault="00600BF1" w:rsidP="0036243E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JCIDS sets standards for requirements formatting, staffing</w:t>
      </w:r>
      <w:r w:rsidR="00571344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approval</w:t>
      </w:r>
      <w:r w:rsidR="00571344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but this process also relies on the </w:t>
      </w:r>
      <w:r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>content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 of the requirements to come from the Army and its sister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services</w:t>
      </w:r>
      <w:r w:rsidR="00D411DD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The Army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’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s process is very robust and is designed to ensure that every aspect of a JCIDS requirement is derived from a defined capability gap, concept</w:t>
      </w:r>
      <w:r w:rsidR="00571344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Army Warfighting Challenge</w:t>
      </w:r>
      <w:r w:rsidR="00D411DD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D411DD" w:rsidRPr="00D411DD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13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This process also has robust oversight with approvals required from the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v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ice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c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hief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of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s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>taff</w:t>
      </w:r>
      <w:r w:rsidR="00571344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>of the Army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>Army G-8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the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G-8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d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irector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of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c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apabilities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i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ntegration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, the d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irector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>of Army Capabilities Integration Center (ARCIC)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</w:t>
      </w:r>
      <w:r w:rsidR="00EC656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>ARCIC Concept and Learning Directorate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, and the c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ommanding 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g</w:t>
      </w:r>
      <w:r w:rsidR="00D4619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eneral </w:t>
      </w:r>
      <w:r w:rsidRPr="0036243E">
        <w:rPr>
          <w:rFonts w:ascii="Courier New" w:eastAsia="Times New Roman" w:hAnsi="Courier New" w:cs="Courier New"/>
          <w:color w:val="383838"/>
          <w:sz w:val="24"/>
          <w:szCs w:val="24"/>
        </w:rPr>
        <w:t>of the appropr</w:t>
      </w:r>
      <w:r w:rsidR="00B879AB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iate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Army c</w:t>
      </w:r>
      <w:r w:rsidR="00563400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enter </w:t>
      </w:r>
      <w:r w:rsidR="00B879AB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of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e</w:t>
      </w:r>
      <w:r w:rsidR="00563400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xcellence</w:t>
      </w:r>
      <w:r w:rsidR="00D4619D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B879AB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</w:p>
    <w:p w14:paraId="66610108" w14:textId="16EA5400" w:rsidR="00600BF1" w:rsidRPr="00173641" w:rsidRDefault="00B879AB" w:rsidP="0036243E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ARCIC </w:t>
      </w:r>
      <w:r w:rsidR="00457F82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director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sought to improve this process for writing the requirement for the Ground Combat Vehicle program </w:t>
      </w:r>
      <w:r w:rsidR="0017364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by adding experts and senior leaders from the </w:t>
      </w:r>
      <w:r w:rsidR="00600BF1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Program Executive Office</w:t>
      </w:r>
      <w:r w:rsidR="00173641" w:rsidRPr="0036243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Ground Combat Systems</w:t>
      </w:r>
      <w:r w:rsidR="00051C2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</w:t>
      </w:r>
      <w:r w:rsidR="00BA3BA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600BF1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Army Research Laboratory</w:t>
      </w:r>
      <w:r w:rsidR="00051C2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</w:t>
      </w:r>
      <w:r w:rsidR="00BA3BA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600BF1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Tank and Automotive Research Development and Engineering Center</w:t>
      </w:r>
      <w:r w:rsidR="00051C2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</w:t>
      </w:r>
      <w:r w:rsidR="00BA3BA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600BF1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Army Materiel Command</w:t>
      </w:r>
      <w:r w:rsidR="00051C2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and </w:t>
      </w:r>
      <w:r w:rsidR="00BA3BA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CB17AD" w:rsidRPr="0036243E">
        <w:rPr>
          <w:rFonts w:ascii="Courier New" w:eastAsia="Times New Roman" w:hAnsi="Courier New" w:cs="Courier New"/>
          <w:color w:val="383838"/>
          <w:sz w:val="24"/>
          <w:szCs w:val="24"/>
        </w:rPr>
        <w:t>Army G-3</w:t>
      </w:r>
      <w:r w:rsidR="00051C20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051C20" w:rsidRPr="0036243E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CA1EF1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4</w:t>
      </w:r>
      <w:r w:rsidR="00051C20">
        <w:rPr>
          <w:rFonts w:ascii="Courier New" w:eastAsia="Times New Roman" w:hAnsi="Courier New" w:cs="Courier New"/>
          <w:color w:val="383838"/>
          <w:sz w:val="24"/>
          <w:szCs w:val="24"/>
          <w:vertAlign w:val="superscript"/>
        </w:rPr>
        <w:t xml:space="preserve"> </w:t>
      </w:r>
      <w:r w:rsidR="00600BF1" w:rsidRPr="0017364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Where this process succeeds in collaboration it fails completely in </w:t>
      </w:r>
      <w:r w:rsidR="00FE285E" w:rsidRPr="0017364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FE285E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="00600BF1" w:rsidRPr="00173641">
        <w:rPr>
          <w:rFonts w:ascii="Courier New" w:eastAsia="Times New Roman" w:hAnsi="Courier New" w:cs="Courier New"/>
          <w:color w:val="383838"/>
          <w:sz w:val="24"/>
          <w:szCs w:val="24"/>
        </w:rPr>
        <w:t>based content.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173641">
        <w:rPr>
          <w:rFonts w:ascii="Courier New" w:eastAsia="Times New Roman" w:hAnsi="Courier New" w:cs="Courier New"/>
          <w:color w:val="383838"/>
          <w:sz w:val="24"/>
          <w:szCs w:val="24"/>
        </w:rPr>
        <w:t>Every person involved in the writing of these documents offers their opinion but no one is required to offer any evidence</w:t>
      </w:r>
      <w:r w:rsidR="0017364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to support that opinion</w:t>
      </w:r>
      <w:r w:rsidR="00600BF1" w:rsidRPr="0017364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</w:p>
    <w:p w14:paraId="166A603D" w14:textId="0465116C" w:rsidR="00C47278" w:rsidRDefault="00600BF1" w:rsidP="00CB17AD">
      <w:pPr>
        <w:spacing w:after="0" w:line="480" w:lineRule="auto"/>
        <w:ind w:firstLine="720"/>
        <w:rPr>
          <w:rFonts w:ascii="Courier New" w:eastAsia="Times New Roman" w:hAnsi="Courier New" w:cs="Courier New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There are no footnotes, endnotes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or references necessary to define a requirement in a JCIDS document.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Neither experimentation nor research is necessary </w:t>
      </w:r>
      <w:r w:rsidR="00B879A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to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propose and approve a threshold attribute,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k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ey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p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erformance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p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arameter</w:t>
      </w:r>
      <w:r w:rsidR="00166F6D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or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k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ey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s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upportability </w:t>
      </w:r>
      <w:r w:rsidR="00563400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56340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ttribute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in a JCIDS document.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This does not mean that decisions in the process are irrational.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This also does not mean that there are no interoperability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necessities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972E78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972E78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will dictate space and weight requirements.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It does mean that no one is required to justify and then test a hypothesis about any aspect of the requirement.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16024E">
        <w:rPr>
          <w:rFonts w:ascii="Courier New" w:eastAsia="Times New Roman" w:hAnsi="Courier New" w:cs="Courier New"/>
          <w:color w:val="383838"/>
          <w:sz w:val="24"/>
          <w:szCs w:val="24"/>
        </w:rPr>
        <w:t>Th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erefore, the</w:t>
      </w:r>
      <w:r w:rsidR="0016024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absence of an </w:t>
      </w:r>
      <w:r w:rsidR="00972E78">
        <w:rPr>
          <w:rFonts w:ascii="Courier New" w:eastAsia="Times New Roman" w:hAnsi="Courier New" w:cs="Courier New"/>
          <w:color w:val="383838"/>
          <w:sz w:val="24"/>
          <w:szCs w:val="24"/>
        </w:rPr>
        <w:t>evidence-</w:t>
      </w:r>
      <w:r w:rsidR="0016024E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based </w:t>
      </w:r>
      <w:r w:rsidR="00972E78">
        <w:rPr>
          <w:rFonts w:ascii="Courier New" w:eastAsia="Times New Roman" w:hAnsi="Courier New" w:cs="Courier New"/>
          <w:color w:val="383838"/>
          <w:sz w:val="24"/>
          <w:szCs w:val="24"/>
        </w:rPr>
        <w:t>decision-</w:t>
      </w:r>
      <w:r w:rsidR="0016024E">
        <w:rPr>
          <w:rFonts w:ascii="Courier New" w:eastAsia="Times New Roman" w:hAnsi="Courier New" w:cs="Courier New"/>
          <w:color w:val="383838"/>
          <w:sz w:val="24"/>
          <w:szCs w:val="24"/>
        </w:rPr>
        <w:t>making system leaves a process where only opinions can be provided and discussed.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</w:p>
    <w:p w14:paraId="66610109" w14:textId="389CEBCB" w:rsidR="00600BF1" w:rsidRPr="00600BF1" w:rsidRDefault="00C47278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>To mitigate this problem, t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here are lessons the Army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should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learn from successful companies to move to an evidence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based requirements process.</w:t>
      </w:r>
    </w:p>
    <w:p w14:paraId="6661010A" w14:textId="7740CA9B" w:rsidR="0016024E" w:rsidRPr="00600BF1" w:rsidRDefault="00600BF1" w:rsidP="004F54D9">
      <w:pPr>
        <w:spacing w:after="0" w:line="480" w:lineRule="auto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</w:rPr>
        <w:t xml:space="preserve">Successful </w:t>
      </w:r>
      <w:r w:rsidR="00BF55A1">
        <w:rPr>
          <w:rFonts w:ascii="Courier New" w:eastAsia="Times New Roman" w:hAnsi="Courier New" w:cs="Courier New"/>
          <w:b/>
          <w:bCs/>
          <w:color w:val="383838"/>
          <w:sz w:val="24"/>
          <w:szCs w:val="24"/>
        </w:rPr>
        <w:t>I</w:t>
      </w:r>
      <w:r w:rsidR="00BF55A1"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</w:rPr>
        <w:t xml:space="preserve">ndustry </w:t>
      </w:r>
      <w:r w:rsidR="00BF55A1">
        <w:rPr>
          <w:rFonts w:ascii="Courier New" w:eastAsia="Times New Roman" w:hAnsi="Courier New" w:cs="Courier New"/>
          <w:b/>
          <w:bCs/>
          <w:color w:val="383838"/>
          <w:sz w:val="24"/>
          <w:szCs w:val="24"/>
        </w:rPr>
        <w:t>P</w:t>
      </w:r>
      <w:r w:rsidR="00BF55A1" w:rsidRPr="004F54D9">
        <w:rPr>
          <w:rFonts w:ascii="Courier New" w:eastAsia="Times New Roman" w:hAnsi="Courier New" w:cs="Courier New"/>
          <w:b/>
          <w:bCs/>
          <w:color w:val="383838"/>
          <w:sz w:val="24"/>
          <w:szCs w:val="24"/>
        </w:rPr>
        <w:t>ractices</w:t>
      </w:r>
      <w:r w:rsidR="00BF55A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 </w:t>
      </w:r>
    </w:p>
    <w:p w14:paraId="6661010B" w14:textId="36A53EE5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Business models for developing technologies for a profit are end-to-end solutions that cannot be adopted by the Army 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e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nterprise for several reasons, not the least of which is a lack of competition.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201B98">
        <w:rPr>
          <w:rFonts w:ascii="Courier New" w:eastAsia="Times New Roman" w:hAnsi="Courier New" w:cs="Courier New"/>
          <w:color w:val="383838"/>
          <w:sz w:val="24"/>
          <w:szCs w:val="24"/>
        </w:rPr>
        <w:t>Every successful business model relies on market forces and competition to drive innovation, efficiency</w:t>
      </w:r>
      <w:r w:rsidR="00D6373C" w:rsidRPr="00201B9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201B9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productivity.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Consumer choices in a competitive marketplace provide companies with evidence for business decisions.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Army cannot adopt models based on a competitive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marketplace because the Army is prohibited by law from competing with industry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CA1EF1" w:rsidRPr="00D411DD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5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Consequently, t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he Army requires a model for technology development </w:t>
      </w:r>
      <w:r w:rsidR="00972E78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972E78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is not designed with the end goal of making a profit and does not rely on competition to make </w:t>
      </w:r>
      <w:r w:rsidR="00972E78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972E78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based decisions about requirements.</w:t>
      </w:r>
    </w:p>
    <w:p w14:paraId="6661010C" w14:textId="22C320D7" w:rsidR="00600BF1" w:rsidRPr="00600BF1" w:rsidRDefault="00BB7EC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In his most recent book, </w:t>
      </w:r>
      <w:r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>Competing</w:t>
      </w:r>
      <w:r w:rsidR="00600BF1"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 xml:space="preserve"> </w:t>
      </w:r>
      <w:r w:rsidR="00972E78" w:rsidRPr="00917EC0">
        <w:rPr>
          <w:rFonts w:ascii="Courier New" w:eastAsia="Times New Roman" w:hAnsi="Courier New" w:cs="Courier New"/>
          <w:i/>
          <w:color w:val="383838"/>
          <w:sz w:val="24"/>
          <w:szCs w:val="24"/>
        </w:rPr>
        <w:t>against</w:t>
      </w:r>
      <w:r w:rsidR="00600BF1"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 xml:space="preserve"> Luck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, Dr. Clayton Christensen describes how successful innovators gather evidence about customer requirements to test hypotheses about developing technologies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CA1EF1" w:rsidRPr="00D411DD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6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Christensen provides examples across multiple industries that show how successful innovators are those who use an </w:t>
      </w:r>
      <w:r w:rsidR="008D4BA7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8D4BA7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based approach to correctly define requirements</w:t>
      </w:r>
      <w:r w:rsidR="00972E7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which he terms 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“</w:t>
      </w:r>
      <w:r w:rsidR="00EA0EB8">
        <w:rPr>
          <w:rFonts w:ascii="Courier New" w:eastAsia="Times New Roman" w:hAnsi="Courier New" w:cs="Courier New"/>
          <w:color w:val="383838"/>
          <w:sz w:val="24"/>
          <w:szCs w:val="24"/>
        </w:rPr>
        <w:t>j</w:t>
      </w:r>
      <w:r w:rsidR="00EA0EB8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obs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to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be </w:t>
      </w:r>
      <w:r w:rsidR="00EA0EB8">
        <w:rPr>
          <w:rFonts w:ascii="Courier New" w:eastAsia="Times New Roman" w:hAnsi="Courier New" w:cs="Courier New"/>
          <w:color w:val="383838"/>
          <w:sz w:val="24"/>
          <w:szCs w:val="24"/>
        </w:rPr>
        <w:t>done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”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CA1EF1" w:rsidRPr="00D411DD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7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Christensen is not the only successful author and </w:t>
      </w:r>
      <w:r w:rsidR="00600BF1" w:rsidRPr="004F54D9">
        <w:rPr>
          <w:rFonts w:ascii="Courier New" w:eastAsia="Times New Roman" w:hAnsi="Courier New" w:cs="Courier New"/>
          <w:color w:val="383838"/>
          <w:sz w:val="24"/>
          <w:szCs w:val="24"/>
        </w:rPr>
        <w:t>entrepreneur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who saw the power of favoring evidence over opinion and provided concepts the Army c</w:t>
      </w:r>
      <w:r w:rsidR="00C47278">
        <w:rPr>
          <w:rFonts w:ascii="Courier New" w:eastAsia="Times New Roman" w:hAnsi="Courier New" w:cs="Courier New"/>
          <w:color w:val="383838"/>
          <w:sz w:val="24"/>
          <w:szCs w:val="24"/>
        </w:rPr>
        <w:t>ould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adopt.</w:t>
      </w:r>
    </w:p>
    <w:p w14:paraId="6661010D" w14:textId="32CFA50F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For over a decade</w:t>
      </w:r>
      <w:r w:rsidR="00EA0EB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Steve Blank has been teaching students across the globe how to be successful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entrepreneurs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His course at Stanford</w:t>
      </w:r>
      <w:r w:rsidR="008D4BA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University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</w:t>
      </w:r>
      <w:r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>Lean Launchpad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was adopted by the National Science Foundation to teach scientists </w:t>
      </w:r>
      <w:r w:rsidR="008D4BA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how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to apply this </w:t>
      </w:r>
      <w:r w:rsidR="008D4BA7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8D4BA7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based approach </w:t>
      </w:r>
      <w:r w:rsidR="008D4BA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in order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to find the right customer requirements for their discoveries.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D76C11">
        <w:rPr>
          <w:rFonts w:ascii="Courier New" w:eastAsia="Times New Roman" w:hAnsi="Courier New" w:cs="Courier New"/>
          <w:color w:val="383838"/>
          <w:sz w:val="24"/>
          <w:szCs w:val="24"/>
        </w:rPr>
        <w:t>The National Science Foundation’s adaptation of Lean Launchpad is called Innovation Corps.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Blank </w:t>
      </w:r>
      <w:r w:rsidR="0057001A">
        <w:rPr>
          <w:rFonts w:ascii="Courier New" w:eastAsia="Times New Roman" w:hAnsi="Courier New" w:cs="Courier New"/>
          <w:color w:val="383838"/>
          <w:sz w:val="24"/>
          <w:szCs w:val="24"/>
        </w:rPr>
        <w:t>applied the principles he teaches in Lean Launchpad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to see that the Army had a need that no current business model,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including his own, could address.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His partnership with </w:t>
      </w:r>
      <w:r w:rsidR="00AE2965" w:rsidRPr="00AE2965">
        <w:rPr>
          <w:rFonts w:ascii="Courier New" w:eastAsia="Times New Roman" w:hAnsi="Courier New" w:cs="Courier New"/>
          <w:color w:val="383838"/>
          <w:sz w:val="24"/>
          <w:szCs w:val="24"/>
        </w:rPr>
        <w:t>Alexander Osterwalder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AE2965" w:rsidRPr="00AE296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917EC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best-selling </w:t>
      </w:r>
      <w:r w:rsidR="00BB7EC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author </w:t>
      </w:r>
      <w:r w:rsidR="00917EC0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of </w:t>
      </w:r>
      <w:r w:rsidR="00917EC0"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>Business Model Generation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, produced a</w:t>
      </w:r>
      <w:r w:rsidR="00166F6D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business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model targeted at the Army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’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s requirements development shortcomings: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D33E3F">
        <w:rPr>
          <w:rFonts w:ascii="Courier New" w:eastAsia="Times New Roman" w:hAnsi="Courier New" w:cs="Courier New"/>
          <w:color w:val="383838"/>
          <w:sz w:val="24"/>
          <w:szCs w:val="24"/>
        </w:rPr>
        <w:t>t</w:t>
      </w:r>
      <w:r w:rsidR="00D33E3F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he 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>“</w:t>
      </w:r>
      <w:r w:rsidRPr="00AE2965">
        <w:rPr>
          <w:rFonts w:ascii="Courier New" w:eastAsia="Times New Roman" w:hAnsi="Courier New" w:cs="Courier New"/>
          <w:color w:val="383838"/>
          <w:sz w:val="24"/>
          <w:szCs w:val="24"/>
        </w:rPr>
        <w:t>Mission Mo</w:t>
      </w:r>
      <w:r w:rsidR="0057001A" w:rsidRPr="00AE2965">
        <w:rPr>
          <w:rFonts w:ascii="Courier New" w:eastAsia="Times New Roman" w:hAnsi="Courier New" w:cs="Courier New"/>
          <w:color w:val="383838"/>
          <w:sz w:val="24"/>
          <w:szCs w:val="24"/>
        </w:rPr>
        <w:t>del Canvas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>”</w:t>
      </w:r>
      <w:r w:rsidR="00357AA0" w:rsidRPr="00CA1EF1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CA1EF1" w:rsidRPr="00D411DD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8</w:t>
      </w:r>
    </w:p>
    <w:p w14:paraId="6661010E" w14:textId="2CC0898F" w:rsidR="00600BF1" w:rsidRPr="00600BF1" w:rsidRDefault="003A010C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Osterwalder’s initial concept,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The Business Model Canvas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provides a proven methodology that for-profit businesses </w:t>
      </w:r>
      <w:r w:rsidR="007E4A1A">
        <w:rPr>
          <w:rFonts w:ascii="Courier New" w:eastAsia="Times New Roman" w:hAnsi="Courier New" w:cs="Courier New"/>
          <w:color w:val="383838"/>
          <w:sz w:val="24"/>
          <w:szCs w:val="24"/>
        </w:rPr>
        <w:t>may</w:t>
      </w:r>
      <w:r w:rsidR="007E4A1A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use to connect key segments of their business</w:t>
      </w:r>
      <w:r w:rsidR="007E4A1A">
        <w:rPr>
          <w:rFonts w:ascii="Courier New" w:eastAsia="Times New Roman" w:hAnsi="Courier New" w:cs="Courier New"/>
          <w:color w:val="383838"/>
          <w:sz w:val="24"/>
          <w:szCs w:val="24"/>
        </w:rPr>
        <w:t>es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BB7EC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O</w:t>
      </w:r>
      <w:r w:rsidR="00BB7EC1">
        <w:rPr>
          <w:rFonts w:ascii="Courier New" w:eastAsia="Times New Roman" w:hAnsi="Courier New" w:cs="Courier New"/>
          <w:color w:val="383838"/>
          <w:sz w:val="24"/>
          <w:szCs w:val="24"/>
        </w:rPr>
        <w:t>sterwalder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Blank adapted the Business Model Canvas after considering the viability of the model in organizations </w:t>
      </w:r>
      <w:r w:rsidR="00917EC0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917EC0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have no profit motive.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result of this </w:t>
      </w:r>
      <w:r w:rsidR="00600BF1" w:rsidRPr="004F54D9">
        <w:rPr>
          <w:rFonts w:ascii="Courier New" w:eastAsia="Times New Roman" w:hAnsi="Courier New" w:cs="Courier New"/>
          <w:color w:val="383838"/>
          <w:sz w:val="24"/>
          <w:szCs w:val="24"/>
        </w:rPr>
        <w:t>collaboration</w:t>
      </w:r>
      <w:r w:rsidR="00600BF1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is the Mission Model Canvas.</w:t>
      </w:r>
    </w:p>
    <w:p w14:paraId="6661010F" w14:textId="3EC53927" w:rsidR="00600BF1" w:rsidRPr="00600BF1" w:rsidRDefault="00600BF1" w:rsidP="00CB17AD">
      <w:pPr>
        <w:spacing w:after="0" w:line="480" w:lineRule="auto"/>
        <w:ind w:firstLine="720"/>
        <w:rPr>
          <w:rFonts w:ascii="gotham" w:eastAsia="Times New Roman" w:hAnsi="gotham" w:cs="Times New Roman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Blank continued to evolve the concept of focusing on nonprofit busi</w:t>
      </w:r>
      <w:r w:rsidR="00B879AB">
        <w:rPr>
          <w:rFonts w:ascii="Courier New" w:eastAsia="Times New Roman" w:hAnsi="Courier New" w:cs="Courier New"/>
          <w:color w:val="383838"/>
          <w:sz w:val="24"/>
          <w:szCs w:val="24"/>
        </w:rPr>
        <w:t>nesses by adapting his Lean Laun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chpad course to a new course focusing specifically on innovation in 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>d</w:t>
      </w:r>
      <w:r w:rsidR="00AE2965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efense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technology development.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Where Lean Launchpad used the Business Model Canvas, the Mission Model Canvas is the basis for </w:t>
      </w:r>
      <w:r w:rsidR="00C60C6B">
        <w:rPr>
          <w:rFonts w:ascii="Courier New" w:eastAsia="Times New Roman" w:hAnsi="Courier New" w:cs="Courier New"/>
          <w:color w:val="383838"/>
          <w:sz w:val="24"/>
          <w:szCs w:val="24"/>
        </w:rPr>
        <w:t>Stanford’s</w:t>
      </w:r>
      <w:r w:rsidR="00C60C6B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new course, </w:t>
      </w:r>
      <w:r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 xml:space="preserve">Hacking for </w:t>
      </w:r>
      <w:r w:rsidR="00CB17AD"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>Defense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Hacking for Defense provides a pedagogy </w:t>
      </w:r>
      <w:r w:rsidR="00FE0D9D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FE0D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Army can adopt to move from 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an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opinion</w:t>
      </w:r>
      <w:r w:rsidR="00FE0D9D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based requirements generation process to 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an </w:t>
      </w:r>
      <w:r w:rsidR="00FE0D9D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FE0D9D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based requirements generation process.</w:t>
      </w:r>
    </w:p>
    <w:p w14:paraId="66610110" w14:textId="77777777" w:rsidR="007955AB" w:rsidRDefault="007955AB" w:rsidP="007955AB">
      <w:pPr>
        <w:spacing w:after="0" w:line="480" w:lineRule="auto"/>
        <w:rPr>
          <w:rFonts w:ascii="Courier New" w:eastAsia="Times New Roman" w:hAnsi="Courier New" w:cs="Courier New"/>
          <w:b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383838"/>
          <w:sz w:val="24"/>
          <w:szCs w:val="24"/>
        </w:rPr>
        <w:t>Hacking for Defense</w:t>
      </w:r>
    </w:p>
    <w:p w14:paraId="66610111" w14:textId="62FBF8D4" w:rsidR="003123FB" w:rsidRDefault="00A5548B" w:rsidP="007955AB">
      <w:pPr>
        <w:spacing w:after="0" w:line="480" w:lineRule="auto"/>
        <w:rPr>
          <w:rFonts w:ascii="Courier New" w:eastAsia="Times New Roman" w:hAnsi="Courier New" w:cs="Courier New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383838"/>
          <w:sz w:val="24"/>
          <w:szCs w:val="24"/>
        </w:rPr>
        <w:tab/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Hacking for Defense implements an 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>evidence-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based requi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rements system by introducing the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concept of a 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“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>minimum viable product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”</w:t>
      </w:r>
      <w:r w:rsidR="00357AA0" w:rsidRPr="00357AA0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1</w:t>
      </w:r>
      <w:r w:rsidR="00CA1EF1">
        <w:rPr>
          <w:rFonts w:ascii="Courier New" w:eastAsia="Times New Roman" w:hAnsi="Courier New" w:cs="Courier New"/>
          <w:color w:val="383838"/>
          <w:sz w:val="24"/>
          <w:szCs w:val="24"/>
          <w:highlight w:val="yellow"/>
          <w:vertAlign w:val="superscript"/>
        </w:rPr>
        <w:t>9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minimum viable product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is the most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rudimentary prototype that will allow a requirements developer to test a hypothesis.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For example, when testing a hypothesis about whether thermal scans of farming fields are useful for farmers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or not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, a </w:t>
      </w:r>
      <w:r w:rsidR="00AE2965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minimum viable product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would be a mock spreadsheet of the data produced, not a mock-up of the thermal sensor.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The value in this approach is not only the depth of thinking required to form a good hypothesis, but the speed with which requirements developers can confirm or deny each hypothesis.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This is what it means to 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“</w:t>
      </w:r>
      <w:r w:rsidR="0086679E">
        <w:rPr>
          <w:rFonts w:ascii="Courier New" w:eastAsia="Times New Roman" w:hAnsi="Courier New" w:cs="Courier New"/>
          <w:color w:val="383838"/>
          <w:sz w:val="24"/>
          <w:szCs w:val="24"/>
        </w:rPr>
        <w:t>f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ail </w:t>
      </w:r>
      <w:r w:rsidR="0086679E">
        <w:rPr>
          <w:rFonts w:ascii="Courier New" w:eastAsia="Times New Roman" w:hAnsi="Courier New" w:cs="Courier New"/>
          <w:color w:val="383838"/>
          <w:sz w:val="24"/>
          <w:szCs w:val="24"/>
        </w:rPr>
        <w:t>f</w:t>
      </w:r>
      <w:r w:rsidR="003123FB">
        <w:rPr>
          <w:rFonts w:ascii="Courier New" w:eastAsia="Times New Roman" w:hAnsi="Courier New" w:cs="Courier New"/>
          <w:color w:val="383838"/>
          <w:sz w:val="24"/>
          <w:szCs w:val="24"/>
        </w:rPr>
        <w:t>ast.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>”</w:t>
      </w:r>
    </w:p>
    <w:p w14:paraId="66610112" w14:textId="29FF88BC" w:rsidR="00D76C11" w:rsidRDefault="003123FB" w:rsidP="007955AB">
      <w:pPr>
        <w:spacing w:after="0" w:line="480" w:lineRule="auto"/>
        <w:rPr>
          <w:rFonts w:ascii="Courier New" w:eastAsia="Times New Roman" w:hAnsi="Courier New" w:cs="Courier New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ab/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>This hypothesis testing process is iterative and constantly adds targeted, valuable information to the requirements development process.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This is the same way the 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scientific method 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>works and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more importantly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it is </w:t>
      </w:r>
      <w:r w:rsidR="009F4468" w:rsidRPr="0036243E">
        <w:rPr>
          <w:rFonts w:ascii="Courier New" w:eastAsia="Times New Roman" w:hAnsi="Courier New" w:cs="Courier New"/>
          <w:i/>
          <w:color w:val="383838"/>
          <w:sz w:val="24"/>
          <w:szCs w:val="24"/>
        </w:rPr>
        <w:t>why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scientific method 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>works.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>Expert opinions matter in developing hypotheses</w:t>
      </w:r>
      <w:r w:rsidR="00DE2631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but only the facts produced from experimentation matter in </w:t>
      </w:r>
      <w:r w:rsidR="00E52A3A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supporting </w:t>
      </w:r>
      <w:r w:rsidR="007B3DA3">
        <w:rPr>
          <w:rFonts w:ascii="Courier New" w:eastAsia="Times New Roman" w:hAnsi="Courier New" w:cs="Courier New"/>
          <w:color w:val="383838"/>
          <w:sz w:val="24"/>
          <w:szCs w:val="24"/>
        </w:rPr>
        <w:t>hypotheses.</w:t>
      </w:r>
    </w:p>
    <w:p w14:paraId="66610113" w14:textId="6A6AA7AC" w:rsidR="007B3DA3" w:rsidRDefault="00D76C11" w:rsidP="007955AB">
      <w:pPr>
        <w:spacing w:after="0" w:line="480" w:lineRule="auto"/>
        <w:rPr>
          <w:rFonts w:ascii="Courier New" w:eastAsia="Times New Roman" w:hAnsi="Courier New" w:cs="Courier New"/>
          <w:color w:val="383838"/>
          <w:sz w:val="24"/>
          <w:szCs w:val="24"/>
        </w:rPr>
      </w:pPr>
      <w:r>
        <w:rPr>
          <w:rFonts w:ascii="Courier New" w:eastAsia="Times New Roman" w:hAnsi="Courier New" w:cs="Courier New"/>
          <w:color w:val="383838"/>
          <w:sz w:val="24"/>
          <w:szCs w:val="24"/>
        </w:rPr>
        <w:tab/>
        <w:t xml:space="preserve">The methodology behind Hacking for Defense is tested and </w:t>
      </w:r>
      <w:r w:rsidR="00E52A3A">
        <w:rPr>
          <w:rFonts w:ascii="Courier New" w:eastAsia="Times New Roman" w:hAnsi="Courier New" w:cs="Courier New"/>
          <w:color w:val="383838"/>
          <w:sz w:val="24"/>
          <w:szCs w:val="24"/>
        </w:rPr>
        <w:t>validated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The concepts in the Lean Launchpad course have been taught at Stanford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University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for over 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>ten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years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because they continue to be validated by students who have become successful entrepreneurs.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E52A3A">
        <w:rPr>
          <w:rFonts w:ascii="Courier New" w:eastAsia="Times New Roman" w:hAnsi="Courier New" w:cs="Courier New"/>
          <w:color w:val="383838"/>
          <w:sz w:val="24"/>
          <w:szCs w:val="24"/>
        </w:rPr>
        <w:t>The Innovation Corps</w:t>
      </w:r>
      <w:r w:rsidR="00E52A3A" w:rsidDel="00E52A3A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="00E52A3A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curriculum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is taught at over a dozen </w:t>
      </w:r>
      <w:r w:rsidR="00DE263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universities,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>and hundreds of scientists have completed courses.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383838"/>
          <w:sz w:val="24"/>
          <w:szCs w:val="24"/>
        </w:rPr>
        <w:t xml:space="preserve">Hacking for Defense was adapted from the successes and lessons learned </w:t>
      </w:r>
      <w:r w:rsidR="00C44F87">
        <w:rPr>
          <w:rFonts w:ascii="Courier New" w:eastAsia="Times New Roman" w:hAnsi="Courier New" w:cs="Courier New"/>
          <w:color w:val="383838"/>
          <w:sz w:val="24"/>
          <w:szCs w:val="24"/>
        </w:rPr>
        <w:t>i</w:t>
      </w:r>
      <w:bookmarkStart w:id="0" w:name="_GoBack"/>
      <w:bookmarkEnd w:id="0"/>
      <w:r w:rsidR="00C44F87">
        <w:rPr>
          <w:rFonts w:ascii="Courier New" w:eastAsia="Times New Roman" w:hAnsi="Courier New" w:cs="Courier New"/>
          <w:color w:val="383838"/>
          <w:sz w:val="24"/>
          <w:szCs w:val="24"/>
        </w:rPr>
        <w:t>n each of these courses</w:t>
      </w:r>
      <w:r w:rsidR="00DE2631">
        <w:rPr>
          <w:rFonts w:ascii="Courier New" w:eastAsia="Times New Roman" w:hAnsi="Courier New" w:cs="Courier New"/>
          <w:color w:val="383838"/>
          <w:sz w:val="24"/>
          <w:szCs w:val="24"/>
        </w:rPr>
        <w:t>,</w:t>
      </w:r>
      <w:r w:rsidR="00C44F8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and it is designed to </w:t>
      </w:r>
      <w:r w:rsidR="00C44F87">
        <w:rPr>
          <w:rFonts w:ascii="Courier New" w:eastAsia="Times New Roman" w:hAnsi="Courier New" w:cs="Courier New"/>
          <w:color w:val="383838"/>
          <w:sz w:val="24"/>
          <w:szCs w:val="24"/>
        </w:rPr>
        <w:lastRenderedPageBreak/>
        <w:t>address the Army’s most significant requirements development challenge.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</w:p>
    <w:p w14:paraId="66610114" w14:textId="40BCB211" w:rsidR="007B3DA3" w:rsidRPr="00435933" w:rsidRDefault="007B3DA3" w:rsidP="007B3DA3">
      <w:pPr>
        <w:spacing w:after="0" w:line="480" w:lineRule="auto"/>
        <w:ind w:firstLine="720"/>
        <w:rPr>
          <w:rFonts w:ascii="Courier New" w:eastAsia="Times New Roman" w:hAnsi="Courier New" w:cs="Courier New"/>
          <w:color w:val="383838"/>
          <w:sz w:val="24"/>
          <w:szCs w:val="24"/>
        </w:rPr>
      </w:pP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need for changes to prevent further failures in the Army </w:t>
      </w:r>
      <w:r w:rsidR="00115956">
        <w:rPr>
          <w:rFonts w:ascii="Courier New" w:eastAsia="Times New Roman" w:hAnsi="Courier New" w:cs="Courier New"/>
          <w:color w:val="383838"/>
          <w:sz w:val="24"/>
          <w:szCs w:val="24"/>
        </w:rPr>
        <w:t>a</w:t>
      </w:r>
      <w:r w:rsidR="00115956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cquisition </w:t>
      </w:r>
      <w:r w:rsidR="00115956">
        <w:rPr>
          <w:rFonts w:ascii="Courier New" w:eastAsia="Times New Roman" w:hAnsi="Courier New" w:cs="Courier New"/>
          <w:color w:val="383838"/>
          <w:sz w:val="24"/>
          <w:szCs w:val="24"/>
        </w:rPr>
        <w:t>e</w:t>
      </w:r>
      <w:r w:rsidR="00115956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nterprise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is undeniable.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system in this </w:t>
      </w:r>
      <w:r w:rsidR="009F4468">
        <w:rPr>
          <w:rFonts w:ascii="Courier New" w:eastAsia="Times New Roman" w:hAnsi="Courier New" w:cs="Courier New"/>
          <w:color w:val="383838"/>
          <w:sz w:val="24"/>
          <w:szCs w:val="24"/>
        </w:rPr>
        <w:t>e</w:t>
      </w:r>
      <w:r w:rsidR="009F4468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nterprise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most in need of change is the requirements process governed by JCIDS.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core problem with how the Army implements JCIDS is the lack of a process and culture </w:t>
      </w:r>
      <w:r w:rsidR="00115956">
        <w:rPr>
          <w:rFonts w:ascii="Courier New" w:eastAsia="Times New Roman" w:hAnsi="Courier New" w:cs="Courier New"/>
          <w:color w:val="383838"/>
          <w:sz w:val="24"/>
          <w:szCs w:val="24"/>
        </w:rPr>
        <w:t>that</w:t>
      </w:r>
      <w:r w:rsidR="00115956"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values hypothesis testing and evidence over positional power and experience.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value of an </w:t>
      </w:r>
      <w:r w:rsidR="00115956" w:rsidRPr="00600BF1">
        <w:rPr>
          <w:rFonts w:ascii="Courier New" w:eastAsia="Times New Roman" w:hAnsi="Courier New" w:cs="Courier New"/>
          <w:color w:val="383838"/>
          <w:sz w:val="24"/>
          <w:szCs w:val="24"/>
        </w:rPr>
        <w:t>evidence</w:t>
      </w:r>
      <w:r w:rsidR="00115956">
        <w:rPr>
          <w:rFonts w:ascii="Courier New" w:eastAsia="Times New Roman" w:hAnsi="Courier New" w:cs="Courier New"/>
          <w:color w:val="383838"/>
          <w:sz w:val="24"/>
          <w:szCs w:val="24"/>
        </w:rPr>
        <w:t>-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based requirements process is demonstrated by multiple authors and </w:t>
      </w:r>
      <w:r w:rsidRPr="004F54D9">
        <w:rPr>
          <w:rFonts w:ascii="Courier New" w:eastAsia="Times New Roman" w:hAnsi="Courier New" w:cs="Courier New"/>
          <w:color w:val="383838"/>
          <w:sz w:val="24"/>
          <w:szCs w:val="24"/>
        </w:rPr>
        <w:t>entrepreneurs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>.</w:t>
      </w:r>
      <w:r w:rsidR="00925C47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 </w:t>
      </w:r>
      <w:r w:rsidRPr="00600BF1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The Hacking for Defense class demonstrates that proven successful business principles can be adapted into a comprehensive system </w:t>
      </w:r>
      <w:r w:rsidRPr="0043593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to address the </w:t>
      </w:r>
      <w:r w:rsidR="00115956" w:rsidRPr="00435933">
        <w:rPr>
          <w:rFonts w:ascii="Courier New" w:eastAsia="Times New Roman" w:hAnsi="Courier New" w:cs="Courier New"/>
          <w:color w:val="383838"/>
          <w:sz w:val="24"/>
          <w:szCs w:val="24"/>
        </w:rPr>
        <w:t>Army</w:t>
      </w:r>
      <w:r w:rsidR="00115956">
        <w:rPr>
          <w:rFonts w:ascii="Courier New" w:eastAsia="Times New Roman" w:hAnsi="Courier New" w:cs="Courier New"/>
          <w:color w:val="383838"/>
          <w:sz w:val="24"/>
          <w:szCs w:val="24"/>
        </w:rPr>
        <w:t>’</w:t>
      </w:r>
      <w:r w:rsidR="00115956" w:rsidRPr="00435933">
        <w:rPr>
          <w:rFonts w:ascii="Courier New" w:eastAsia="Times New Roman" w:hAnsi="Courier New" w:cs="Courier New"/>
          <w:color w:val="383838"/>
          <w:sz w:val="24"/>
          <w:szCs w:val="24"/>
        </w:rPr>
        <w:t xml:space="preserve">s </w:t>
      </w:r>
      <w:r w:rsidRPr="00435933">
        <w:rPr>
          <w:rFonts w:ascii="Courier New" w:eastAsia="Times New Roman" w:hAnsi="Courier New" w:cs="Courier New"/>
          <w:color w:val="383838"/>
          <w:sz w:val="24"/>
          <w:szCs w:val="24"/>
        </w:rPr>
        <w:t>requirements challenges.</w:t>
      </w:r>
    </w:p>
    <w:p w14:paraId="66610115" w14:textId="77777777" w:rsidR="007955AB" w:rsidRPr="00435933" w:rsidRDefault="007955AB" w:rsidP="007955AB">
      <w:pPr>
        <w:spacing w:after="0" w:line="480" w:lineRule="auto"/>
        <w:rPr>
          <w:rFonts w:ascii="Courier New" w:eastAsia="Times New Roman" w:hAnsi="Courier New" w:cs="Courier New"/>
          <w:color w:val="383838"/>
          <w:sz w:val="24"/>
          <w:szCs w:val="24"/>
        </w:rPr>
      </w:pPr>
      <w:r w:rsidRPr="00435933">
        <w:rPr>
          <w:rFonts w:ascii="Courier New" w:eastAsia="Times New Roman" w:hAnsi="Courier New" w:cs="Courier New"/>
          <w:color w:val="383838"/>
          <w:sz w:val="24"/>
          <w:szCs w:val="24"/>
        </w:rPr>
        <w:tab/>
      </w:r>
    </w:p>
    <w:p w14:paraId="66610116" w14:textId="337CE4B7" w:rsidR="00435933" w:rsidRPr="00DE2631" w:rsidRDefault="00DE2631" w:rsidP="00435933">
      <w:pPr>
        <w:pStyle w:val="EndnoteText"/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DE2631">
        <w:rPr>
          <w:rFonts w:ascii="Courier New" w:hAnsi="Courier New" w:cs="Courier New"/>
          <w:b/>
          <w:sz w:val="24"/>
          <w:szCs w:val="24"/>
        </w:rPr>
        <w:t>Notes</w:t>
      </w:r>
    </w:p>
    <w:p w14:paraId="35674A6F" w14:textId="36BFF07D" w:rsidR="00D411DD" w:rsidRPr="00D411DD" w:rsidRDefault="00D411DD" w:rsidP="00D411DD">
      <w:pPr>
        <w:pStyle w:val="Comment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Epigraph. </w:t>
      </w:r>
      <w:r w:rsidRPr="00D411DD">
        <w:rPr>
          <w:rFonts w:ascii="Courier New" w:hAnsi="Courier New" w:cs="Courier New"/>
          <w:sz w:val="24"/>
          <w:szCs w:val="24"/>
        </w:rPr>
        <w:t>The Journal of TransPersonal Psychology, p.124</w:t>
      </w:r>
    </w:p>
    <w:p w14:paraId="66610117" w14:textId="61285F79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F27B1C">
        <w:rPr>
          <w:rFonts w:ascii="Courier New" w:hAnsi="Courier New" w:cs="Courier New"/>
          <w:sz w:val="24"/>
          <w:szCs w:val="24"/>
        </w:rPr>
        <w:t xml:space="preserve">Ben </w:t>
      </w:r>
      <w:r>
        <w:rPr>
          <w:rFonts w:ascii="Courier New" w:hAnsi="Courier New" w:cs="Courier New"/>
          <w:sz w:val="24"/>
          <w:szCs w:val="24"/>
        </w:rPr>
        <w:t xml:space="preserve">Fitzgerald, “The DIUx Is Dead. </w:t>
      </w:r>
      <w:r w:rsidRPr="00F27B1C">
        <w:rPr>
          <w:rFonts w:ascii="Courier New" w:hAnsi="Courier New" w:cs="Courier New"/>
          <w:sz w:val="24"/>
          <w:szCs w:val="24"/>
        </w:rPr>
        <w:t>Long Live the DIUx</w:t>
      </w:r>
      <w:r w:rsidR="00115956">
        <w:rPr>
          <w:rFonts w:ascii="Courier New" w:hAnsi="Courier New" w:cs="Courier New"/>
          <w:sz w:val="24"/>
          <w:szCs w:val="24"/>
        </w:rPr>
        <w:t>,</w:t>
      </w:r>
      <w:r w:rsidRPr="00F27B1C">
        <w:rPr>
          <w:rFonts w:ascii="Courier New" w:hAnsi="Courier New" w:cs="Courier New"/>
          <w:sz w:val="24"/>
          <w:szCs w:val="24"/>
        </w:rPr>
        <w:t xml:space="preserve">” </w:t>
      </w:r>
      <w:r w:rsidRPr="0036243E">
        <w:rPr>
          <w:rFonts w:ascii="Courier New" w:hAnsi="Courier New" w:cs="Courier New"/>
          <w:sz w:val="24"/>
          <w:szCs w:val="24"/>
        </w:rPr>
        <w:t>Defense One</w:t>
      </w:r>
      <w:r w:rsidR="00EB29E8">
        <w:rPr>
          <w:rFonts w:ascii="Courier New" w:hAnsi="Courier New" w:cs="Courier New"/>
          <w:sz w:val="24"/>
          <w:szCs w:val="24"/>
        </w:rPr>
        <w:t xml:space="preserve"> online</w:t>
      </w:r>
      <w:r w:rsidRPr="00F27B1C">
        <w:rPr>
          <w:rFonts w:ascii="Courier New" w:hAnsi="Courier New" w:cs="Courier New"/>
          <w:sz w:val="24"/>
          <w:szCs w:val="24"/>
        </w:rPr>
        <w:t xml:space="preserve">, </w:t>
      </w:r>
      <w:r w:rsidR="00115956">
        <w:rPr>
          <w:rFonts w:ascii="Courier New" w:hAnsi="Courier New" w:cs="Courier New"/>
          <w:sz w:val="24"/>
          <w:szCs w:val="24"/>
        </w:rPr>
        <w:t xml:space="preserve">12 </w:t>
      </w:r>
      <w:r w:rsidRPr="00F27B1C">
        <w:rPr>
          <w:rFonts w:ascii="Courier New" w:hAnsi="Courier New" w:cs="Courier New"/>
          <w:sz w:val="24"/>
          <w:szCs w:val="24"/>
        </w:rPr>
        <w:t>May</w:t>
      </w:r>
      <w:r w:rsidR="00115956">
        <w:rPr>
          <w:rFonts w:ascii="Courier New" w:hAnsi="Courier New" w:cs="Courier New"/>
          <w:sz w:val="24"/>
          <w:szCs w:val="24"/>
        </w:rPr>
        <w:t xml:space="preserve"> </w:t>
      </w:r>
      <w:r w:rsidRPr="00F27B1C">
        <w:rPr>
          <w:rFonts w:ascii="Courier New" w:hAnsi="Courier New" w:cs="Courier New"/>
          <w:sz w:val="24"/>
          <w:szCs w:val="24"/>
        </w:rPr>
        <w:t>2016</w:t>
      </w:r>
      <w:r w:rsidR="00115956">
        <w:rPr>
          <w:rFonts w:ascii="Courier New" w:hAnsi="Courier New" w:cs="Courier New"/>
          <w:sz w:val="24"/>
          <w:szCs w:val="24"/>
        </w:rPr>
        <w:t xml:space="preserve">, accessed 8 September 2017, </w:t>
      </w:r>
      <w:r w:rsidR="00115956" w:rsidRPr="00115956">
        <w:rPr>
          <w:rFonts w:ascii="Courier New" w:hAnsi="Courier New" w:cs="Courier New"/>
          <w:sz w:val="24"/>
          <w:szCs w:val="24"/>
        </w:rPr>
        <w:t>http://www.defenseone.com/ideas/2016/05/ash-carter-diux-pentagon-technology-innovation/128254/?oref=search_The%20DIUx%20Is%20Dead.%20Long%20Live%20the%20DIUx</w:t>
      </w:r>
      <w:r>
        <w:rPr>
          <w:rFonts w:ascii="Courier New" w:hAnsi="Courier New" w:cs="Courier New"/>
          <w:sz w:val="24"/>
          <w:szCs w:val="24"/>
        </w:rPr>
        <w:t>.</w:t>
      </w:r>
    </w:p>
    <w:p w14:paraId="66610118" w14:textId="5C31787F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Joe Gould, “McHugh: </w:t>
      </w:r>
      <w:r w:rsidRPr="00F27B1C">
        <w:rPr>
          <w:rFonts w:ascii="Courier New" w:hAnsi="Courier New" w:cs="Courier New"/>
          <w:sz w:val="24"/>
          <w:szCs w:val="24"/>
        </w:rPr>
        <w:t>Army Acquisitions ‘Tale of Failure</w:t>
      </w:r>
      <w:r w:rsidR="00115956">
        <w:rPr>
          <w:rFonts w:ascii="Courier New" w:hAnsi="Courier New" w:cs="Courier New"/>
          <w:sz w:val="24"/>
          <w:szCs w:val="24"/>
        </w:rPr>
        <w:t>,</w:t>
      </w:r>
      <w:r w:rsidRPr="00F27B1C">
        <w:rPr>
          <w:rFonts w:ascii="Courier New" w:hAnsi="Courier New" w:cs="Courier New"/>
          <w:sz w:val="24"/>
          <w:szCs w:val="24"/>
        </w:rPr>
        <w:t xml:space="preserve">’” </w:t>
      </w:r>
      <w:r w:rsidRPr="0036243E">
        <w:rPr>
          <w:rFonts w:ascii="Courier New" w:hAnsi="Courier New" w:cs="Courier New"/>
          <w:sz w:val="24"/>
          <w:szCs w:val="24"/>
        </w:rPr>
        <w:t>Defense</w:t>
      </w:r>
      <w:r w:rsidR="00115956">
        <w:rPr>
          <w:rFonts w:ascii="Courier New" w:hAnsi="Courier New" w:cs="Courier New"/>
          <w:sz w:val="24"/>
          <w:szCs w:val="24"/>
        </w:rPr>
        <w:t xml:space="preserve"> </w:t>
      </w:r>
      <w:r w:rsidRPr="0036243E">
        <w:rPr>
          <w:rFonts w:ascii="Courier New" w:hAnsi="Courier New" w:cs="Courier New"/>
          <w:sz w:val="24"/>
          <w:szCs w:val="24"/>
        </w:rPr>
        <w:t>News</w:t>
      </w:r>
      <w:r w:rsidR="00EB29E8">
        <w:rPr>
          <w:rFonts w:ascii="Courier New" w:hAnsi="Courier New" w:cs="Courier New"/>
          <w:sz w:val="24"/>
          <w:szCs w:val="24"/>
        </w:rPr>
        <w:t xml:space="preserve"> online</w:t>
      </w:r>
      <w:r w:rsidRPr="00F27B1C">
        <w:rPr>
          <w:rFonts w:ascii="Courier New" w:hAnsi="Courier New" w:cs="Courier New"/>
          <w:sz w:val="24"/>
          <w:szCs w:val="24"/>
        </w:rPr>
        <w:t xml:space="preserve">, </w:t>
      </w:r>
      <w:r w:rsidR="00115956">
        <w:rPr>
          <w:rFonts w:ascii="Courier New" w:hAnsi="Courier New" w:cs="Courier New"/>
          <w:sz w:val="24"/>
          <w:szCs w:val="24"/>
        </w:rPr>
        <w:t xml:space="preserve">19 </w:t>
      </w:r>
      <w:r w:rsidRPr="00F27B1C">
        <w:rPr>
          <w:rFonts w:ascii="Courier New" w:hAnsi="Courier New" w:cs="Courier New"/>
          <w:sz w:val="24"/>
          <w:szCs w:val="24"/>
        </w:rPr>
        <w:t>March 2015</w:t>
      </w:r>
      <w:r w:rsidR="00115956">
        <w:rPr>
          <w:rFonts w:ascii="Courier New" w:hAnsi="Courier New" w:cs="Courier New"/>
          <w:sz w:val="24"/>
          <w:szCs w:val="24"/>
        </w:rPr>
        <w:t xml:space="preserve">, accessed 8 September 2017, </w:t>
      </w:r>
      <w:r w:rsidR="00115956" w:rsidRPr="00115956">
        <w:rPr>
          <w:rFonts w:ascii="Courier New" w:hAnsi="Courier New" w:cs="Courier New"/>
          <w:sz w:val="24"/>
          <w:szCs w:val="24"/>
        </w:rPr>
        <w:lastRenderedPageBreak/>
        <w:t>https://www.defensenews.com/land/2015/03/19/mchugh-army-acquisitions-tale-of-failure/</w:t>
      </w:r>
      <w:r>
        <w:rPr>
          <w:rFonts w:ascii="Courier New" w:hAnsi="Courier New" w:cs="Courier New"/>
          <w:sz w:val="24"/>
          <w:szCs w:val="24"/>
        </w:rPr>
        <w:t>.</w:t>
      </w:r>
    </w:p>
    <w:p w14:paraId="66610119" w14:textId="359BB2EA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="00115956">
        <w:rPr>
          <w:rFonts w:ascii="Courier New" w:hAnsi="Courier New" w:cs="Courier New"/>
          <w:sz w:val="24"/>
          <w:szCs w:val="24"/>
        </w:rPr>
        <w:t xml:space="preserve">Christopher G. Pernin et al., </w:t>
      </w:r>
      <w:r w:rsidRPr="00F27B1C">
        <w:rPr>
          <w:rFonts w:ascii="Courier New" w:hAnsi="Courier New" w:cs="Courier New"/>
          <w:sz w:val="24"/>
          <w:szCs w:val="24"/>
        </w:rPr>
        <w:t>“Lessons from the Army’s Future Combat Systems Program”</w:t>
      </w:r>
      <w:r w:rsidR="00115956">
        <w:rPr>
          <w:rFonts w:ascii="Courier New" w:hAnsi="Courier New" w:cs="Courier New"/>
          <w:sz w:val="24"/>
          <w:szCs w:val="24"/>
        </w:rPr>
        <w:t xml:space="preserve"> (monograph, Santa Monica, CA: </w:t>
      </w:r>
      <w:r w:rsidR="00DE2631">
        <w:rPr>
          <w:rFonts w:ascii="Courier New" w:hAnsi="Courier New" w:cs="Courier New"/>
          <w:sz w:val="24"/>
          <w:szCs w:val="24"/>
        </w:rPr>
        <w:t>RAND</w:t>
      </w:r>
      <w:r w:rsidR="00115956">
        <w:rPr>
          <w:rFonts w:ascii="Courier New" w:hAnsi="Courier New" w:cs="Courier New"/>
          <w:sz w:val="24"/>
          <w:szCs w:val="24"/>
        </w:rPr>
        <w:t xml:space="preserve"> Arroyo Center, 2012),</w:t>
      </w:r>
      <w:r w:rsidRPr="00F27B1C">
        <w:rPr>
          <w:rFonts w:ascii="Courier New" w:hAnsi="Courier New" w:cs="Courier New"/>
          <w:sz w:val="24"/>
          <w:szCs w:val="24"/>
        </w:rPr>
        <w:t xml:space="preserve"> </w:t>
      </w:r>
      <w:r w:rsidR="00115956" w:rsidRPr="00DE2631">
        <w:rPr>
          <w:rStyle w:val="Hyperlink"/>
          <w:rFonts w:ascii="Courier New" w:hAnsi="Courier New" w:cs="Courier New"/>
          <w:color w:val="auto"/>
          <w:sz w:val="24"/>
          <w:szCs w:val="24"/>
          <w:u w:val="none"/>
        </w:rPr>
        <w:t>http://www.rand.org/content/dam/rand/pubs/monographs/2012/RAND_MG1206.pdf</w:t>
      </w:r>
      <w:r w:rsidR="00115956">
        <w:rPr>
          <w:rFonts w:ascii="Courier New" w:hAnsi="Courier New" w:cs="Courier New"/>
          <w:sz w:val="24"/>
          <w:szCs w:val="24"/>
        </w:rPr>
        <w:t>.</w:t>
      </w:r>
    </w:p>
    <w:p w14:paraId="6661011A" w14:textId="1954EB6E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4. </w:t>
      </w:r>
      <w:r w:rsidRPr="00F27B1C">
        <w:rPr>
          <w:rFonts w:ascii="Courier New" w:hAnsi="Courier New" w:cs="Courier New"/>
          <w:sz w:val="24"/>
          <w:szCs w:val="24"/>
        </w:rPr>
        <w:t>William M. Robare, “Army’s Failed Programs:</w:t>
      </w:r>
      <w:r w:rsidR="00925C47">
        <w:rPr>
          <w:rFonts w:ascii="Courier New" w:hAnsi="Courier New" w:cs="Courier New"/>
          <w:sz w:val="24"/>
          <w:szCs w:val="24"/>
        </w:rPr>
        <w:t xml:space="preserve"> </w:t>
      </w:r>
      <w:r w:rsidRPr="00F27B1C">
        <w:rPr>
          <w:rFonts w:ascii="Courier New" w:hAnsi="Courier New" w:cs="Courier New"/>
          <w:sz w:val="24"/>
          <w:szCs w:val="24"/>
        </w:rPr>
        <w:t>Moral Imperative for Change</w:t>
      </w:r>
      <w:r w:rsidR="005E7B0E">
        <w:rPr>
          <w:rFonts w:ascii="Courier New" w:hAnsi="Courier New" w:cs="Courier New"/>
          <w:sz w:val="24"/>
          <w:szCs w:val="24"/>
        </w:rPr>
        <w:t>”</w:t>
      </w:r>
      <w:r w:rsidRPr="00F27B1C">
        <w:rPr>
          <w:rFonts w:ascii="Courier New" w:hAnsi="Courier New" w:cs="Courier New"/>
          <w:sz w:val="24"/>
          <w:szCs w:val="24"/>
        </w:rPr>
        <w:t xml:space="preserve"> (</w:t>
      </w:r>
      <w:r w:rsidR="005E7B0E">
        <w:rPr>
          <w:rFonts w:ascii="Courier New" w:hAnsi="Courier New" w:cs="Courier New"/>
          <w:sz w:val="24"/>
          <w:szCs w:val="24"/>
        </w:rPr>
        <w:t>Carlisle Barracks, PA: U</w:t>
      </w:r>
      <w:r w:rsidR="001C5D9D">
        <w:rPr>
          <w:rFonts w:ascii="Courier New" w:hAnsi="Courier New" w:cs="Courier New"/>
          <w:sz w:val="24"/>
          <w:szCs w:val="24"/>
        </w:rPr>
        <w:t>.</w:t>
      </w:r>
      <w:r w:rsidR="005E7B0E">
        <w:rPr>
          <w:rFonts w:ascii="Courier New" w:hAnsi="Courier New" w:cs="Courier New"/>
          <w:sz w:val="24"/>
          <w:szCs w:val="24"/>
        </w:rPr>
        <w:t>S</w:t>
      </w:r>
      <w:r w:rsidR="001C5D9D">
        <w:rPr>
          <w:rFonts w:ascii="Courier New" w:hAnsi="Courier New" w:cs="Courier New"/>
          <w:sz w:val="24"/>
          <w:szCs w:val="24"/>
        </w:rPr>
        <w:t>.</w:t>
      </w:r>
      <w:r w:rsidR="005E7B0E">
        <w:rPr>
          <w:rFonts w:ascii="Courier New" w:hAnsi="Courier New" w:cs="Courier New"/>
          <w:sz w:val="24"/>
          <w:szCs w:val="24"/>
        </w:rPr>
        <w:t xml:space="preserve"> Army War College, </w:t>
      </w:r>
      <w:r w:rsidRPr="00F27B1C">
        <w:rPr>
          <w:rFonts w:ascii="Courier New" w:hAnsi="Courier New" w:cs="Courier New"/>
          <w:sz w:val="24"/>
          <w:szCs w:val="24"/>
        </w:rPr>
        <w:t>November 2011), http://www.dtic.mil/dtic/tr/fulltext/u2/a565223.pdf</w:t>
      </w:r>
      <w:r w:rsidR="005E7B0E">
        <w:rPr>
          <w:rFonts w:ascii="Courier New" w:hAnsi="Courier New" w:cs="Courier New"/>
          <w:sz w:val="24"/>
          <w:szCs w:val="24"/>
        </w:rPr>
        <w:t>.</w:t>
      </w:r>
    </w:p>
    <w:p w14:paraId="6661011B" w14:textId="459F3E95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5. </w:t>
      </w:r>
      <w:r w:rsidRPr="00F27B1C">
        <w:rPr>
          <w:rFonts w:ascii="Courier New" w:hAnsi="Courier New" w:cs="Courier New"/>
          <w:sz w:val="24"/>
          <w:szCs w:val="24"/>
        </w:rPr>
        <w:t xml:space="preserve">C. Todd Lopez, “How Long for a New Pistol?” </w:t>
      </w:r>
      <w:r w:rsidRPr="0036243E">
        <w:rPr>
          <w:rFonts w:ascii="Courier New" w:hAnsi="Courier New" w:cs="Courier New"/>
          <w:sz w:val="24"/>
          <w:szCs w:val="24"/>
        </w:rPr>
        <w:t>Army.mil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5E7B0E">
        <w:rPr>
          <w:rFonts w:ascii="Courier New" w:hAnsi="Courier New" w:cs="Courier New"/>
          <w:sz w:val="24"/>
          <w:szCs w:val="24"/>
        </w:rPr>
        <w:t xml:space="preserve">21 </w:t>
      </w:r>
      <w:r w:rsidRPr="00F27B1C">
        <w:rPr>
          <w:rFonts w:ascii="Courier New" w:hAnsi="Courier New" w:cs="Courier New"/>
          <w:sz w:val="24"/>
          <w:szCs w:val="24"/>
        </w:rPr>
        <w:t xml:space="preserve">March 2016, </w:t>
      </w:r>
      <w:r w:rsidR="005E7B0E">
        <w:rPr>
          <w:rFonts w:ascii="Courier New" w:hAnsi="Courier New" w:cs="Courier New"/>
          <w:sz w:val="24"/>
          <w:szCs w:val="24"/>
        </w:rPr>
        <w:t xml:space="preserve">accessed 8 September 2017, </w:t>
      </w:r>
      <w:r w:rsidR="005E7B0E" w:rsidRPr="00DE2631">
        <w:rPr>
          <w:rStyle w:val="Hyperlink"/>
          <w:rFonts w:ascii="Courier New" w:hAnsi="Courier New" w:cs="Courier New"/>
          <w:color w:val="auto"/>
          <w:sz w:val="24"/>
          <w:szCs w:val="24"/>
          <w:u w:val="none"/>
        </w:rPr>
        <w:t>https://www.army.mil/article/164604</w:t>
      </w:r>
      <w:r>
        <w:rPr>
          <w:rFonts w:ascii="Courier New" w:hAnsi="Courier New" w:cs="Courier New"/>
          <w:sz w:val="24"/>
          <w:szCs w:val="24"/>
        </w:rPr>
        <w:t>.</w:t>
      </w:r>
    </w:p>
    <w:p w14:paraId="6661011C" w14:textId="41E19211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6. </w:t>
      </w:r>
      <w:r w:rsidRPr="00F27B1C">
        <w:rPr>
          <w:rFonts w:ascii="Courier New" w:hAnsi="Courier New" w:cs="Courier New"/>
          <w:sz w:val="24"/>
          <w:szCs w:val="24"/>
        </w:rPr>
        <w:t xml:space="preserve">Office </w:t>
      </w:r>
      <w:r w:rsidR="006240F4">
        <w:rPr>
          <w:rFonts w:ascii="Courier New" w:hAnsi="Courier New" w:cs="Courier New"/>
          <w:sz w:val="24"/>
          <w:szCs w:val="24"/>
        </w:rPr>
        <w:t>o</w:t>
      </w:r>
      <w:r w:rsidR="006240F4" w:rsidRPr="00F27B1C">
        <w:rPr>
          <w:rFonts w:ascii="Courier New" w:hAnsi="Courier New" w:cs="Courier New"/>
          <w:sz w:val="24"/>
          <w:szCs w:val="24"/>
        </w:rPr>
        <w:t xml:space="preserve">f </w:t>
      </w:r>
      <w:r w:rsidRPr="00F27B1C">
        <w:rPr>
          <w:rFonts w:ascii="Courier New" w:hAnsi="Courier New" w:cs="Courier New"/>
          <w:sz w:val="24"/>
          <w:szCs w:val="24"/>
        </w:rPr>
        <w:t>Management and Budget</w:t>
      </w:r>
      <w:r w:rsidR="004C6491">
        <w:rPr>
          <w:rFonts w:ascii="Courier New" w:hAnsi="Courier New" w:cs="Courier New"/>
          <w:sz w:val="24"/>
          <w:szCs w:val="24"/>
        </w:rPr>
        <w:t xml:space="preserve"> (OMB)</w:t>
      </w:r>
      <w:r w:rsidRPr="00F27B1C">
        <w:rPr>
          <w:rFonts w:ascii="Courier New" w:hAnsi="Courier New" w:cs="Courier New"/>
          <w:sz w:val="24"/>
          <w:szCs w:val="24"/>
        </w:rPr>
        <w:t>, OMB Circular A-11</w:t>
      </w:r>
      <w:r w:rsidR="004C6491">
        <w:rPr>
          <w:rFonts w:ascii="Courier New" w:hAnsi="Courier New" w:cs="Courier New"/>
          <w:sz w:val="24"/>
          <w:szCs w:val="24"/>
        </w:rPr>
        <w:t xml:space="preserve"> (Washington, DC: The White House, July 2017)</w:t>
      </w:r>
      <w:r w:rsidRPr="00F27B1C">
        <w:rPr>
          <w:rFonts w:ascii="Courier New" w:hAnsi="Courier New" w:cs="Courier New"/>
          <w:sz w:val="24"/>
          <w:szCs w:val="24"/>
        </w:rPr>
        <w:t>,</w:t>
      </w:r>
      <w:r w:rsidR="00925C47">
        <w:rPr>
          <w:rFonts w:ascii="Courier New" w:hAnsi="Courier New" w:cs="Courier New"/>
          <w:sz w:val="24"/>
          <w:szCs w:val="24"/>
        </w:rPr>
        <w:t xml:space="preserve"> </w:t>
      </w:r>
      <w:r w:rsidRPr="00F27B1C">
        <w:rPr>
          <w:rFonts w:ascii="Courier New" w:hAnsi="Courier New" w:cs="Courier New"/>
          <w:sz w:val="24"/>
          <w:szCs w:val="24"/>
        </w:rPr>
        <w:t>https://www.whitehouse.gov/omb/circulars_a11_current_year_a11_toc</w:t>
      </w:r>
      <w:r w:rsidR="005E7B0E">
        <w:rPr>
          <w:rFonts w:ascii="Courier New" w:hAnsi="Courier New" w:cs="Courier New"/>
          <w:sz w:val="24"/>
          <w:szCs w:val="24"/>
        </w:rPr>
        <w:t>.</w:t>
      </w:r>
    </w:p>
    <w:p w14:paraId="6661011D" w14:textId="0919CC67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7. </w:t>
      </w:r>
      <w:r w:rsidRPr="00F27B1C">
        <w:rPr>
          <w:rFonts w:ascii="Courier New" w:hAnsi="Courier New" w:cs="Courier New"/>
          <w:sz w:val="24"/>
          <w:szCs w:val="24"/>
        </w:rPr>
        <w:t>Chairman of the Joint Chiefs of Staff</w:t>
      </w:r>
      <w:r w:rsidR="001C5D9D">
        <w:rPr>
          <w:rFonts w:ascii="Courier New" w:hAnsi="Courier New" w:cs="Courier New"/>
          <w:sz w:val="24"/>
          <w:szCs w:val="24"/>
        </w:rPr>
        <w:t xml:space="preserve"> Instruction 3170.01I</w:t>
      </w:r>
      <w:r w:rsidRPr="00F27B1C">
        <w:rPr>
          <w:rFonts w:ascii="Courier New" w:hAnsi="Courier New" w:cs="Courier New"/>
          <w:sz w:val="24"/>
          <w:szCs w:val="24"/>
        </w:rPr>
        <w:t xml:space="preserve">, </w:t>
      </w:r>
      <w:r w:rsidRPr="0036243E">
        <w:rPr>
          <w:rFonts w:ascii="Courier New" w:hAnsi="Courier New" w:cs="Courier New"/>
          <w:i/>
          <w:sz w:val="24"/>
          <w:szCs w:val="24"/>
        </w:rPr>
        <w:t>Joint Capabilities Integration and Development System</w:t>
      </w:r>
      <w:r w:rsidRPr="00F27B1C">
        <w:rPr>
          <w:rFonts w:ascii="Courier New" w:hAnsi="Courier New" w:cs="Courier New"/>
          <w:sz w:val="24"/>
          <w:szCs w:val="24"/>
        </w:rPr>
        <w:t>,</w:t>
      </w:r>
      <w:r w:rsidR="001C5D9D">
        <w:rPr>
          <w:rFonts w:ascii="Courier New" w:hAnsi="Courier New" w:cs="Courier New"/>
          <w:sz w:val="24"/>
          <w:szCs w:val="24"/>
        </w:rPr>
        <w:t xml:space="preserve"> (Washington, DC: U.S. Government Publishing Office,</w:t>
      </w:r>
      <w:r w:rsidRPr="00F27B1C">
        <w:rPr>
          <w:rFonts w:ascii="Courier New" w:hAnsi="Courier New" w:cs="Courier New"/>
          <w:sz w:val="24"/>
          <w:szCs w:val="24"/>
        </w:rPr>
        <w:t xml:space="preserve"> 23 January 2015</w:t>
      </w:r>
      <w:r w:rsidR="001C5D9D">
        <w:rPr>
          <w:rFonts w:ascii="Courier New" w:hAnsi="Courier New" w:cs="Courier New"/>
          <w:sz w:val="24"/>
          <w:szCs w:val="24"/>
        </w:rPr>
        <w:t>)</w:t>
      </w:r>
      <w:r w:rsidRPr="00F27B1C">
        <w:rPr>
          <w:rFonts w:ascii="Courier New" w:hAnsi="Courier New" w:cs="Courier New"/>
          <w:sz w:val="24"/>
          <w:szCs w:val="24"/>
        </w:rPr>
        <w:t xml:space="preserve">, </w:t>
      </w:r>
      <w:r w:rsidR="00DE2631">
        <w:rPr>
          <w:rFonts w:ascii="Courier New" w:hAnsi="Courier New" w:cs="Courier New"/>
          <w:sz w:val="24"/>
          <w:szCs w:val="24"/>
        </w:rPr>
        <w:t xml:space="preserve">accessed 15 September 2017, </w:t>
      </w:r>
      <w:r w:rsidRPr="00F27B1C">
        <w:rPr>
          <w:rFonts w:ascii="Courier New" w:hAnsi="Courier New" w:cs="Courier New"/>
          <w:sz w:val="24"/>
          <w:szCs w:val="24"/>
        </w:rPr>
        <w:t>http://www.jcs.mil/Portals/36/Documents/Library/Instructions/3170_01a.pdf?ver=2016-02-05-175022-720</w:t>
      </w:r>
      <w:r w:rsidR="006240F4">
        <w:rPr>
          <w:rFonts w:ascii="Courier New" w:hAnsi="Courier New" w:cs="Courier New"/>
          <w:sz w:val="24"/>
          <w:szCs w:val="24"/>
        </w:rPr>
        <w:t>.</w:t>
      </w:r>
    </w:p>
    <w:p w14:paraId="6661011E" w14:textId="28767664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8. </w:t>
      </w:r>
      <w:r w:rsidRPr="00F27B1C">
        <w:rPr>
          <w:rFonts w:ascii="Courier New" w:hAnsi="Courier New" w:cs="Courier New"/>
          <w:sz w:val="24"/>
          <w:szCs w:val="24"/>
        </w:rPr>
        <w:t xml:space="preserve">J. Roland Fox, </w:t>
      </w:r>
      <w:r w:rsidRPr="00F27B1C">
        <w:rPr>
          <w:rFonts w:ascii="Courier New" w:hAnsi="Courier New" w:cs="Courier New"/>
          <w:i/>
          <w:sz w:val="24"/>
          <w:szCs w:val="24"/>
        </w:rPr>
        <w:t>Defense Acquisition Reform, 1960-2009:</w:t>
      </w:r>
      <w:r w:rsidR="00925C47">
        <w:rPr>
          <w:rFonts w:ascii="Courier New" w:hAnsi="Courier New" w:cs="Courier New"/>
          <w:i/>
          <w:sz w:val="24"/>
          <w:szCs w:val="24"/>
        </w:rPr>
        <w:t xml:space="preserve"> </w:t>
      </w:r>
      <w:r w:rsidRPr="00F27B1C">
        <w:rPr>
          <w:rFonts w:ascii="Courier New" w:hAnsi="Courier New" w:cs="Courier New"/>
          <w:i/>
          <w:sz w:val="24"/>
          <w:szCs w:val="24"/>
        </w:rPr>
        <w:t>An Elusive Goal</w:t>
      </w:r>
      <w:r w:rsidRPr="00F27B1C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(</w:t>
      </w:r>
      <w:r w:rsidR="00186962">
        <w:rPr>
          <w:rFonts w:ascii="Courier New" w:hAnsi="Courier New" w:cs="Courier New"/>
          <w:sz w:val="24"/>
          <w:szCs w:val="24"/>
        </w:rPr>
        <w:t xml:space="preserve">Washington, DC: </w:t>
      </w:r>
      <w:r w:rsidR="001C5D9D">
        <w:rPr>
          <w:rFonts w:ascii="Courier New" w:hAnsi="Courier New" w:cs="Courier New"/>
          <w:sz w:val="24"/>
          <w:szCs w:val="24"/>
        </w:rPr>
        <w:t>U.S.</w:t>
      </w:r>
      <w:r w:rsidRPr="00F27B1C">
        <w:rPr>
          <w:rFonts w:ascii="Courier New" w:hAnsi="Courier New" w:cs="Courier New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rmy Center of Military History</w:t>
      </w:r>
      <w:r w:rsidR="001C5D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27B1C">
        <w:rPr>
          <w:rFonts w:ascii="Courier New" w:hAnsi="Courier New" w:cs="Courier New"/>
          <w:sz w:val="24"/>
          <w:szCs w:val="24"/>
        </w:rPr>
        <w:t>2011)</w:t>
      </w:r>
      <w:r w:rsidR="00186962">
        <w:rPr>
          <w:rFonts w:ascii="Courier New" w:hAnsi="Courier New" w:cs="Courier New"/>
          <w:sz w:val="24"/>
          <w:szCs w:val="24"/>
        </w:rPr>
        <w:t xml:space="preserve">, </w:t>
      </w:r>
      <w:r w:rsidR="00186962" w:rsidRPr="00186962">
        <w:rPr>
          <w:rFonts w:ascii="Courier New" w:hAnsi="Courier New" w:cs="Courier New"/>
          <w:sz w:val="24"/>
          <w:szCs w:val="24"/>
        </w:rPr>
        <w:t>http://www.history.army.mil/html/books/051/51-3-1/CMH_Pub_51-3-1.pdf</w:t>
      </w:r>
      <w:r w:rsidR="00186962">
        <w:rPr>
          <w:rFonts w:ascii="Courier New" w:hAnsi="Courier New" w:cs="Courier New"/>
          <w:sz w:val="24"/>
          <w:szCs w:val="24"/>
        </w:rPr>
        <w:t>.</w:t>
      </w:r>
    </w:p>
    <w:p w14:paraId="66610120" w14:textId="663EBBE6" w:rsidR="00435933" w:rsidRPr="00F27B1C" w:rsidRDefault="00435933" w:rsidP="00D6373C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9. </w:t>
      </w:r>
      <w:r w:rsidRPr="00F27B1C">
        <w:rPr>
          <w:rFonts w:ascii="Courier New" w:hAnsi="Courier New" w:cs="Courier New"/>
          <w:sz w:val="24"/>
          <w:szCs w:val="24"/>
        </w:rPr>
        <w:t>Goldwater-Nichols Department of Defense Reorganization Act of 1986</w:t>
      </w:r>
      <w:r w:rsidR="00186962">
        <w:rPr>
          <w:rFonts w:ascii="Courier New" w:hAnsi="Courier New" w:cs="Courier New"/>
          <w:sz w:val="24"/>
          <w:szCs w:val="24"/>
        </w:rPr>
        <w:t>, Pub. L. 99-433, 100 Stat. 992</w:t>
      </w:r>
      <w:r w:rsidRPr="00F27B1C">
        <w:rPr>
          <w:rFonts w:ascii="Courier New" w:hAnsi="Courier New" w:cs="Courier New"/>
          <w:sz w:val="24"/>
          <w:szCs w:val="24"/>
        </w:rPr>
        <w:t xml:space="preserve"> </w:t>
      </w:r>
      <w:r w:rsidR="00186962">
        <w:rPr>
          <w:rFonts w:ascii="Courier New" w:hAnsi="Courier New" w:cs="Courier New"/>
          <w:sz w:val="24"/>
          <w:szCs w:val="24"/>
        </w:rPr>
        <w:t>(</w:t>
      </w:r>
      <w:r w:rsidRPr="00F27B1C">
        <w:rPr>
          <w:rFonts w:ascii="Courier New" w:hAnsi="Courier New" w:cs="Courier New"/>
          <w:sz w:val="24"/>
          <w:szCs w:val="24"/>
        </w:rPr>
        <w:t>1986</w:t>
      </w:r>
      <w:r w:rsidR="00186962">
        <w:rPr>
          <w:rFonts w:ascii="Courier New" w:hAnsi="Courier New" w:cs="Courier New"/>
          <w:sz w:val="24"/>
          <w:szCs w:val="24"/>
        </w:rPr>
        <w:t>)</w:t>
      </w:r>
      <w:r w:rsidR="00BF55A1">
        <w:rPr>
          <w:rFonts w:ascii="Courier New" w:hAnsi="Courier New" w:cs="Courier New"/>
          <w:sz w:val="24"/>
          <w:szCs w:val="24"/>
        </w:rPr>
        <w:t xml:space="preserve">; </w:t>
      </w:r>
      <w:r w:rsidRPr="00F27B1C">
        <w:rPr>
          <w:rFonts w:ascii="Courier New" w:hAnsi="Courier New" w:cs="Courier New"/>
          <w:sz w:val="24"/>
          <w:szCs w:val="24"/>
        </w:rPr>
        <w:t xml:space="preserve">National Defense Authorization Act for Fiscal Year 2017, </w:t>
      </w:r>
      <w:r w:rsidR="00186962">
        <w:rPr>
          <w:rFonts w:ascii="Courier New" w:hAnsi="Courier New" w:cs="Courier New"/>
          <w:sz w:val="24"/>
          <w:szCs w:val="24"/>
        </w:rPr>
        <w:t>Pub. L. 114-328, 130 Stat. 2000 (2016).</w:t>
      </w:r>
    </w:p>
    <w:p w14:paraId="66610121" w14:textId="525F9A71" w:rsidR="00435933" w:rsidRPr="00F27B1C" w:rsidRDefault="00BF55A1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  <w:r w:rsidR="00435933">
        <w:rPr>
          <w:rFonts w:ascii="Courier New" w:hAnsi="Courier New" w:cs="Courier New"/>
          <w:sz w:val="24"/>
          <w:szCs w:val="24"/>
        </w:rPr>
        <w:t xml:space="preserve">. </w:t>
      </w:r>
      <w:r w:rsidR="00435933" w:rsidRPr="00F27B1C">
        <w:rPr>
          <w:rFonts w:ascii="Courier New" w:hAnsi="Courier New" w:cs="Courier New"/>
          <w:sz w:val="24"/>
          <w:szCs w:val="24"/>
        </w:rPr>
        <w:t xml:space="preserve">Weapons System Acquisition Reform Act of 2009, </w:t>
      </w:r>
      <w:r w:rsidR="00186962">
        <w:rPr>
          <w:rFonts w:ascii="Courier New" w:hAnsi="Courier New" w:cs="Courier New"/>
          <w:sz w:val="24"/>
          <w:szCs w:val="24"/>
        </w:rPr>
        <w:t>Pub. L. 111-23, 123 Stat. 1704 (2009).</w:t>
      </w:r>
    </w:p>
    <w:p w14:paraId="66610122" w14:textId="09C2DF5F" w:rsidR="00435933" w:rsidRPr="00F27B1C" w:rsidRDefault="00BF55A1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  <w:r w:rsidR="00435933">
        <w:rPr>
          <w:rFonts w:ascii="Courier New" w:hAnsi="Courier New" w:cs="Courier New"/>
          <w:sz w:val="24"/>
          <w:szCs w:val="24"/>
        </w:rPr>
        <w:t xml:space="preserve">. </w:t>
      </w:r>
      <w:r w:rsidR="00EB29E8" w:rsidRPr="00F27B1C">
        <w:rPr>
          <w:rFonts w:ascii="Courier New" w:hAnsi="Courier New" w:cs="Courier New"/>
          <w:sz w:val="24"/>
          <w:szCs w:val="24"/>
        </w:rPr>
        <w:t>Defense Acquisition Workforce</w:t>
      </w:r>
      <w:r w:rsidR="00EB29E8">
        <w:rPr>
          <w:rFonts w:ascii="Courier New" w:hAnsi="Courier New" w:cs="Courier New"/>
          <w:sz w:val="24"/>
          <w:szCs w:val="24"/>
        </w:rPr>
        <w:t xml:space="preserve">, 10 U.S.C. § 87 (2013). </w:t>
      </w:r>
    </w:p>
    <w:p w14:paraId="66610124" w14:textId="4D1DB429" w:rsidR="00435933" w:rsidRPr="00F27B1C" w:rsidRDefault="00BF55A1" w:rsidP="00D6373C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  <w:r w:rsidR="00435933">
        <w:rPr>
          <w:rFonts w:ascii="Courier New" w:hAnsi="Courier New" w:cs="Courier New"/>
          <w:sz w:val="24"/>
          <w:szCs w:val="24"/>
        </w:rPr>
        <w:t xml:space="preserve">. </w:t>
      </w:r>
      <w:r w:rsidR="00435933" w:rsidRPr="00F27B1C">
        <w:rPr>
          <w:rFonts w:ascii="Courier New" w:hAnsi="Courier New" w:cs="Courier New"/>
          <w:sz w:val="24"/>
          <w:szCs w:val="24"/>
        </w:rPr>
        <w:t xml:space="preserve">The Clinger-Cohen Act, </w:t>
      </w:r>
      <w:r w:rsidR="00EB29E8">
        <w:rPr>
          <w:rFonts w:ascii="Courier New" w:hAnsi="Courier New" w:cs="Courier New"/>
          <w:sz w:val="24"/>
          <w:szCs w:val="24"/>
        </w:rPr>
        <w:t>Pub. L. 104-106 110 Stat. 186 (1996)</w:t>
      </w:r>
      <w:r>
        <w:rPr>
          <w:rFonts w:ascii="Courier New" w:hAnsi="Courier New" w:cs="Courier New"/>
          <w:sz w:val="24"/>
          <w:szCs w:val="24"/>
        </w:rPr>
        <w:t xml:space="preserve">; </w:t>
      </w:r>
      <w:r w:rsidR="00435933" w:rsidRPr="00F27B1C">
        <w:rPr>
          <w:rFonts w:ascii="Courier New" w:hAnsi="Courier New" w:cs="Courier New"/>
          <w:sz w:val="24"/>
          <w:szCs w:val="24"/>
        </w:rPr>
        <w:t>The Federal Information Technology Acquisition Reform Act</w:t>
      </w:r>
      <w:r w:rsidR="00EB29E8">
        <w:rPr>
          <w:rFonts w:ascii="Courier New" w:hAnsi="Courier New" w:cs="Courier New"/>
          <w:sz w:val="24"/>
          <w:szCs w:val="24"/>
        </w:rPr>
        <w:t>, Pub. L. 113-291, 128 Stat. 291</w:t>
      </w:r>
      <w:r w:rsidR="00435933" w:rsidRPr="00F27B1C">
        <w:rPr>
          <w:rFonts w:ascii="Courier New" w:hAnsi="Courier New" w:cs="Courier New"/>
          <w:sz w:val="24"/>
          <w:szCs w:val="24"/>
        </w:rPr>
        <w:t xml:space="preserve"> </w:t>
      </w:r>
      <w:r w:rsidR="00EB29E8">
        <w:rPr>
          <w:rFonts w:ascii="Courier New" w:hAnsi="Courier New" w:cs="Courier New"/>
          <w:sz w:val="24"/>
          <w:szCs w:val="24"/>
        </w:rPr>
        <w:t>(</w:t>
      </w:r>
      <w:r w:rsidR="00435933" w:rsidRPr="00F27B1C">
        <w:rPr>
          <w:rFonts w:ascii="Courier New" w:hAnsi="Courier New" w:cs="Courier New"/>
          <w:sz w:val="24"/>
          <w:szCs w:val="24"/>
        </w:rPr>
        <w:t>2015</w:t>
      </w:r>
      <w:r w:rsidR="00EB29E8">
        <w:rPr>
          <w:rFonts w:ascii="Courier New" w:hAnsi="Courier New" w:cs="Courier New"/>
          <w:sz w:val="24"/>
          <w:szCs w:val="24"/>
        </w:rPr>
        <w:t>).</w:t>
      </w:r>
    </w:p>
    <w:p w14:paraId="485944B3" w14:textId="30B94B2A" w:rsidR="001748E6" w:rsidRDefault="00041CFA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13. </w:t>
      </w:r>
      <w:r w:rsidRPr="00041CFA">
        <w:rPr>
          <w:rFonts w:ascii="Courier New" w:hAnsi="Courier New" w:cs="Courier New"/>
          <w:sz w:val="24"/>
          <w:szCs w:val="24"/>
        </w:rPr>
        <w:t xml:space="preserve">Army Capabilities Integration Center, </w:t>
      </w:r>
      <w:r w:rsidR="00D411DD">
        <w:rPr>
          <w:rFonts w:ascii="Courier New" w:hAnsi="Courier New" w:cs="Courier New"/>
          <w:sz w:val="24"/>
          <w:szCs w:val="24"/>
        </w:rPr>
        <w:t>“</w:t>
      </w:r>
      <w:r w:rsidRPr="00041CFA">
        <w:rPr>
          <w:rFonts w:ascii="Courier New" w:hAnsi="Courier New" w:cs="Courier New"/>
          <w:sz w:val="24"/>
          <w:szCs w:val="24"/>
        </w:rPr>
        <w:t>Army Warfighting Challenges,</w:t>
      </w:r>
      <w:r w:rsidR="00D411DD">
        <w:rPr>
          <w:rFonts w:ascii="Courier New" w:hAnsi="Courier New" w:cs="Courier New"/>
          <w:sz w:val="24"/>
          <w:szCs w:val="24"/>
        </w:rPr>
        <w:t>” last updated 31 January 2017, accessed 2 October 2017,</w:t>
      </w:r>
      <w:r w:rsidRPr="00041CFA">
        <w:rPr>
          <w:rFonts w:ascii="Courier New" w:hAnsi="Courier New" w:cs="Courier New"/>
          <w:sz w:val="24"/>
          <w:szCs w:val="24"/>
        </w:rPr>
        <w:t xml:space="preserve"> http://www.arcic.army.mil/App_Documents/AWFC-Current.pdf</w:t>
      </w:r>
      <w:r w:rsidR="00D411DD">
        <w:rPr>
          <w:rFonts w:ascii="Courier New" w:hAnsi="Courier New" w:cs="Courier New"/>
          <w:sz w:val="24"/>
          <w:szCs w:val="24"/>
        </w:rPr>
        <w:t>.</w:t>
      </w:r>
    </w:p>
    <w:p w14:paraId="66610125" w14:textId="7785C8AF" w:rsidR="00435933" w:rsidRPr="00F27B1C" w:rsidRDefault="00BF55A1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CA1EF1">
        <w:rPr>
          <w:rFonts w:ascii="Courier New" w:hAnsi="Courier New" w:cs="Courier New"/>
          <w:sz w:val="24"/>
          <w:szCs w:val="24"/>
        </w:rPr>
        <w:t>4</w:t>
      </w:r>
      <w:r w:rsidR="00435933">
        <w:rPr>
          <w:rFonts w:ascii="Courier New" w:hAnsi="Courier New" w:cs="Courier New"/>
          <w:sz w:val="24"/>
          <w:szCs w:val="24"/>
        </w:rPr>
        <w:t xml:space="preserve">. </w:t>
      </w:r>
      <w:r w:rsidR="00435933" w:rsidRPr="00F27B1C">
        <w:rPr>
          <w:rFonts w:ascii="Courier New" w:hAnsi="Courier New" w:cs="Courier New"/>
          <w:sz w:val="24"/>
          <w:szCs w:val="24"/>
        </w:rPr>
        <w:t>Sydney J. Freedberg</w:t>
      </w:r>
      <w:r w:rsidR="00EB29E8">
        <w:rPr>
          <w:rFonts w:ascii="Courier New" w:hAnsi="Courier New" w:cs="Courier New"/>
          <w:sz w:val="24"/>
          <w:szCs w:val="24"/>
        </w:rPr>
        <w:t xml:space="preserve"> Jr.</w:t>
      </w:r>
      <w:r w:rsidR="00435933" w:rsidRPr="00F27B1C">
        <w:rPr>
          <w:rFonts w:ascii="Courier New" w:hAnsi="Courier New" w:cs="Courier New"/>
          <w:sz w:val="24"/>
          <w:szCs w:val="24"/>
        </w:rPr>
        <w:t xml:space="preserve">, </w:t>
      </w:r>
      <w:r w:rsidR="00EB29E8">
        <w:rPr>
          <w:rFonts w:ascii="Courier New" w:hAnsi="Courier New" w:cs="Courier New"/>
          <w:sz w:val="24"/>
          <w:szCs w:val="24"/>
        </w:rPr>
        <w:t>“</w:t>
      </w:r>
      <w:r w:rsidR="00435933" w:rsidRPr="00F27B1C">
        <w:rPr>
          <w:rFonts w:ascii="Courier New" w:hAnsi="Courier New" w:cs="Courier New"/>
          <w:sz w:val="24"/>
          <w:szCs w:val="24"/>
        </w:rPr>
        <w:t>Army Changing How it Does Requirements: McMaster</w:t>
      </w:r>
      <w:r w:rsidR="00EB29E8">
        <w:rPr>
          <w:rFonts w:ascii="Courier New" w:hAnsi="Courier New" w:cs="Courier New"/>
          <w:sz w:val="24"/>
          <w:szCs w:val="24"/>
        </w:rPr>
        <w:t>,”</w:t>
      </w:r>
      <w:r w:rsidR="00435933" w:rsidRPr="00F27B1C">
        <w:rPr>
          <w:rFonts w:ascii="Courier New" w:hAnsi="Courier New" w:cs="Courier New"/>
          <w:sz w:val="24"/>
          <w:szCs w:val="24"/>
        </w:rPr>
        <w:t xml:space="preserve"> </w:t>
      </w:r>
      <w:r w:rsidR="00435933" w:rsidRPr="0036243E">
        <w:rPr>
          <w:rFonts w:ascii="Courier New" w:hAnsi="Courier New" w:cs="Courier New"/>
          <w:sz w:val="24"/>
          <w:szCs w:val="24"/>
        </w:rPr>
        <w:t>Breaking Defense</w:t>
      </w:r>
      <w:r w:rsidR="00EB29E8">
        <w:rPr>
          <w:rFonts w:ascii="Courier New" w:hAnsi="Courier New" w:cs="Courier New"/>
          <w:sz w:val="24"/>
          <w:szCs w:val="24"/>
        </w:rPr>
        <w:t xml:space="preserve"> online</w:t>
      </w:r>
      <w:r w:rsidR="00435933" w:rsidRPr="00F27B1C">
        <w:rPr>
          <w:rFonts w:ascii="Courier New" w:hAnsi="Courier New" w:cs="Courier New"/>
          <w:sz w:val="24"/>
          <w:szCs w:val="24"/>
        </w:rPr>
        <w:t xml:space="preserve">, </w:t>
      </w:r>
      <w:r w:rsidR="00EB29E8">
        <w:rPr>
          <w:rFonts w:ascii="Courier New" w:hAnsi="Courier New" w:cs="Courier New"/>
          <w:sz w:val="24"/>
          <w:szCs w:val="24"/>
        </w:rPr>
        <w:t>1</w:t>
      </w:r>
      <w:r w:rsidR="00435933" w:rsidRPr="00F27B1C">
        <w:rPr>
          <w:rFonts w:ascii="Courier New" w:hAnsi="Courier New" w:cs="Courier New"/>
          <w:sz w:val="24"/>
          <w:szCs w:val="24"/>
        </w:rPr>
        <w:t>9 February, 2015</w:t>
      </w:r>
      <w:r w:rsidR="00EB29E8">
        <w:rPr>
          <w:rFonts w:ascii="Courier New" w:hAnsi="Courier New" w:cs="Courier New"/>
          <w:sz w:val="24"/>
          <w:szCs w:val="24"/>
        </w:rPr>
        <w:t xml:space="preserve">, accessed 11 September 2017, </w:t>
      </w:r>
      <w:r w:rsidR="00EB29E8" w:rsidRPr="00EB29E8">
        <w:rPr>
          <w:rFonts w:ascii="Courier New" w:hAnsi="Courier New" w:cs="Courier New"/>
          <w:sz w:val="24"/>
          <w:szCs w:val="24"/>
        </w:rPr>
        <w:t>http://breakingdefense.com/2015/02/army-changing-how-it-does-requirements-mcmaster/</w:t>
      </w:r>
      <w:r w:rsidR="00435933" w:rsidRPr="00F27B1C">
        <w:rPr>
          <w:rFonts w:ascii="Courier New" w:hAnsi="Courier New" w:cs="Courier New"/>
          <w:sz w:val="24"/>
          <w:szCs w:val="24"/>
        </w:rPr>
        <w:t>.</w:t>
      </w:r>
    </w:p>
    <w:p w14:paraId="66610126" w14:textId="28EC3031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CA1EF1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F27B1C">
        <w:rPr>
          <w:rFonts w:ascii="Courier New" w:hAnsi="Courier New" w:cs="Courier New"/>
          <w:sz w:val="24"/>
          <w:szCs w:val="24"/>
        </w:rPr>
        <w:t xml:space="preserve">National Defense Authorization Act </w:t>
      </w:r>
      <w:r w:rsidR="00D6373C">
        <w:rPr>
          <w:rFonts w:ascii="Courier New" w:hAnsi="Courier New" w:cs="Courier New"/>
          <w:sz w:val="24"/>
          <w:szCs w:val="24"/>
        </w:rPr>
        <w:t xml:space="preserve">for Fiscal Year </w:t>
      </w:r>
      <w:r w:rsidRPr="00F27B1C">
        <w:rPr>
          <w:rFonts w:ascii="Courier New" w:hAnsi="Courier New" w:cs="Courier New"/>
          <w:sz w:val="24"/>
          <w:szCs w:val="24"/>
        </w:rPr>
        <w:t>1997</w:t>
      </w:r>
      <w:r w:rsidR="00D6373C">
        <w:rPr>
          <w:rFonts w:ascii="Courier New" w:hAnsi="Courier New" w:cs="Courier New"/>
          <w:sz w:val="24"/>
          <w:szCs w:val="24"/>
        </w:rPr>
        <w:t>, Pub. L. 104-201, 110 Stat. 2422 (1996)</w:t>
      </w:r>
      <w:r w:rsidR="00EB29E8">
        <w:rPr>
          <w:rFonts w:ascii="Courier New" w:hAnsi="Courier New" w:cs="Courier New"/>
          <w:sz w:val="24"/>
          <w:szCs w:val="24"/>
        </w:rPr>
        <w:t>.</w:t>
      </w:r>
    </w:p>
    <w:p w14:paraId="66610127" w14:textId="08017E81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1</w:t>
      </w:r>
      <w:r w:rsidR="00CA1EF1"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F27B1C">
        <w:rPr>
          <w:rFonts w:ascii="Courier New" w:hAnsi="Courier New" w:cs="Courier New"/>
          <w:sz w:val="24"/>
          <w:szCs w:val="24"/>
        </w:rPr>
        <w:t xml:space="preserve">Clayton M. Christensen, </w:t>
      </w:r>
      <w:r w:rsidR="00A8139E">
        <w:rPr>
          <w:rFonts w:ascii="Courier New" w:hAnsi="Courier New" w:cs="Courier New"/>
          <w:i/>
          <w:sz w:val="24"/>
          <w:szCs w:val="24"/>
        </w:rPr>
        <w:t>Competing</w:t>
      </w:r>
      <w:r w:rsidRPr="00F27B1C">
        <w:rPr>
          <w:rFonts w:ascii="Courier New" w:hAnsi="Courier New" w:cs="Courier New"/>
          <w:i/>
          <w:sz w:val="24"/>
          <w:szCs w:val="24"/>
        </w:rPr>
        <w:t xml:space="preserve"> Against Luck</w:t>
      </w:r>
      <w:r w:rsidRPr="00F27B1C">
        <w:rPr>
          <w:rFonts w:ascii="Courier New" w:hAnsi="Courier New" w:cs="Courier New"/>
          <w:sz w:val="24"/>
          <w:szCs w:val="24"/>
        </w:rPr>
        <w:t xml:space="preserve">: </w:t>
      </w:r>
      <w:r w:rsidRPr="00F27B1C">
        <w:rPr>
          <w:rFonts w:ascii="Courier New" w:hAnsi="Courier New" w:cs="Courier New"/>
          <w:i/>
          <w:sz w:val="24"/>
          <w:szCs w:val="24"/>
        </w:rPr>
        <w:t>The Story of Innovation and Customer Choice</w:t>
      </w:r>
      <w:r w:rsidRPr="00F27B1C">
        <w:rPr>
          <w:rFonts w:ascii="Courier New" w:hAnsi="Courier New" w:cs="Courier New"/>
          <w:sz w:val="24"/>
          <w:szCs w:val="24"/>
        </w:rPr>
        <w:t xml:space="preserve"> </w:t>
      </w:r>
      <w:r w:rsidR="00EB29E8">
        <w:rPr>
          <w:rFonts w:ascii="Courier New" w:hAnsi="Courier New" w:cs="Courier New"/>
          <w:sz w:val="24"/>
          <w:szCs w:val="24"/>
        </w:rPr>
        <w:t xml:space="preserve">(New York: </w:t>
      </w:r>
      <w:r w:rsidRPr="00F27B1C">
        <w:rPr>
          <w:rFonts w:ascii="Courier New" w:hAnsi="Courier New" w:cs="Courier New"/>
          <w:sz w:val="24"/>
          <w:szCs w:val="24"/>
        </w:rPr>
        <w:t>HarperCollins, 2016</w:t>
      </w:r>
      <w:r w:rsidR="00EB29E8">
        <w:rPr>
          <w:rFonts w:ascii="Courier New" w:hAnsi="Courier New" w:cs="Courier New"/>
          <w:sz w:val="24"/>
          <w:szCs w:val="24"/>
        </w:rPr>
        <w:t>).</w:t>
      </w:r>
      <w:r w:rsidRPr="00F27B1C">
        <w:rPr>
          <w:rFonts w:ascii="Courier New" w:hAnsi="Courier New" w:cs="Courier New"/>
          <w:sz w:val="24"/>
          <w:szCs w:val="24"/>
        </w:rPr>
        <w:t xml:space="preserve"> </w:t>
      </w:r>
    </w:p>
    <w:p w14:paraId="66610128" w14:textId="3C5EBEE8" w:rsidR="00435933" w:rsidRPr="00F27B1C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CA1EF1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F27B1C">
        <w:rPr>
          <w:rFonts w:ascii="Courier New" w:hAnsi="Courier New" w:cs="Courier New"/>
          <w:sz w:val="24"/>
          <w:szCs w:val="24"/>
        </w:rPr>
        <w:t>Ibid.</w:t>
      </w:r>
    </w:p>
    <w:p w14:paraId="6661012A" w14:textId="19CE8BEC" w:rsidR="00435933" w:rsidRDefault="00435933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CA1EF1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F27B1C">
        <w:rPr>
          <w:rFonts w:ascii="Courier New" w:hAnsi="Courier New" w:cs="Courier New"/>
          <w:sz w:val="24"/>
          <w:szCs w:val="24"/>
        </w:rPr>
        <w:t xml:space="preserve">Steve Blank, </w:t>
      </w:r>
      <w:r w:rsidR="00C60C6B">
        <w:rPr>
          <w:rFonts w:ascii="Courier New" w:hAnsi="Courier New" w:cs="Courier New"/>
          <w:sz w:val="24"/>
          <w:szCs w:val="24"/>
        </w:rPr>
        <w:t>“</w:t>
      </w:r>
      <w:r w:rsidRPr="0036243E">
        <w:rPr>
          <w:rFonts w:ascii="Courier New" w:hAnsi="Courier New" w:cs="Courier New"/>
          <w:sz w:val="24"/>
          <w:szCs w:val="24"/>
        </w:rPr>
        <w:t>The Mission Model Canvas</w:t>
      </w:r>
      <w:r w:rsidR="00DE2631" w:rsidRPr="0036243E">
        <w:rPr>
          <w:rFonts w:ascii="Courier New" w:hAnsi="Courier New" w:cs="Courier New"/>
          <w:sz w:val="24"/>
          <w:szCs w:val="24"/>
        </w:rPr>
        <w:t>—</w:t>
      </w:r>
      <w:r w:rsidRPr="0036243E">
        <w:rPr>
          <w:rFonts w:ascii="Courier New" w:hAnsi="Courier New" w:cs="Courier New"/>
          <w:sz w:val="24"/>
          <w:szCs w:val="24"/>
        </w:rPr>
        <w:t>An Adapted Business Model Canvas for Mission-Driven Organizations</w:t>
      </w:r>
      <w:r w:rsidRPr="00C60C6B">
        <w:rPr>
          <w:rFonts w:ascii="Courier New" w:hAnsi="Courier New" w:cs="Courier New"/>
          <w:sz w:val="24"/>
          <w:szCs w:val="24"/>
        </w:rPr>
        <w:t>,</w:t>
      </w:r>
      <w:r w:rsidR="00C60C6B">
        <w:rPr>
          <w:rFonts w:ascii="Courier New" w:hAnsi="Courier New" w:cs="Courier New"/>
          <w:sz w:val="24"/>
          <w:szCs w:val="24"/>
        </w:rPr>
        <w:t>”</w:t>
      </w:r>
      <w:r w:rsidRPr="00C60C6B">
        <w:rPr>
          <w:rFonts w:ascii="Courier New" w:hAnsi="Courier New" w:cs="Courier New"/>
          <w:sz w:val="24"/>
          <w:szCs w:val="24"/>
        </w:rPr>
        <w:t xml:space="preserve"> </w:t>
      </w:r>
      <w:r w:rsidR="00EB29E8">
        <w:rPr>
          <w:rFonts w:ascii="Courier New" w:hAnsi="Courier New" w:cs="Courier New"/>
          <w:sz w:val="24"/>
          <w:szCs w:val="24"/>
        </w:rPr>
        <w:t xml:space="preserve">23 </w:t>
      </w:r>
      <w:r w:rsidRPr="00F27B1C">
        <w:rPr>
          <w:rFonts w:ascii="Courier New" w:hAnsi="Courier New" w:cs="Courier New"/>
          <w:sz w:val="24"/>
          <w:szCs w:val="24"/>
        </w:rPr>
        <w:t xml:space="preserve">February 2016, </w:t>
      </w:r>
      <w:r w:rsidR="00917EC0" w:rsidRPr="00DE2631">
        <w:rPr>
          <w:rStyle w:val="Hyperlink"/>
          <w:rFonts w:ascii="Courier New" w:hAnsi="Courier New" w:cs="Courier New"/>
          <w:color w:val="auto"/>
          <w:sz w:val="24"/>
          <w:szCs w:val="24"/>
          <w:u w:val="none"/>
        </w:rPr>
        <w:t>https://steveblank.com/2016/02/23/the-mission-model-canvas-an-adapted-business-model-canvas-for-mission-driven-organizations/</w:t>
      </w:r>
      <w:r w:rsidR="00917EC0">
        <w:rPr>
          <w:rFonts w:ascii="Courier New" w:hAnsi="Courier New" w:cs="Courier New"/>
          <w:sz w:val="24"/>
          <w:szCs w:val="24"/>
        </w:rPr>
        <w:t xml:space="preserve">; </w:t>
      </w:r>
      <w:r w:rsidRPr="00F27B1C">
        <w:rPr>
          <w:rFonts w:ascii="Courier New" w:hAnsi="Courier New" w:cs="Courier New"/>
          <w:sz w:val="24"/>
          <w:szCs w:val="24"/>
        </w:rPr>
        <w:t>Alexander Osterwalder et al</w:t>
      </w:r>
      <w:r w:rsidR="00EB29E8">
        <w:rPr>
          <w:rFonts w:ascii="Courier New" w:hAnsi="Courier New" w:cs="Courier New"/>
          <w:sz w:val="24"/>
          <w:szCs w:val="24"/>
        </w:rPr>
        <w:t>.</w:t>
      </w:r>
      <w:r w:rsidRPr="00F27B1C">
        <w:rPr>
          <w:rFonts w:ascii="Courier New" w:hAnsi="Courier New" w:cs="Courier New"/>
          <w:sz w:val="24"/>
          <w:szCs w:val="24"/>
        </w:rPr>
        <w:t xml:space="preserve">, </w:t>
      </w:r>
      <w:r w:rsidRPr="00F27B1C">
        <w:rPr>
          <w:rFonts w:ascii="Courier New" w:hAnsi="Courier New" w:cs="Courier New"/>
          <w:i/>
          <w:sz w:val="24"/>
          <w:szCs w:val="24"/>
        </w:rPr>
        <w:t>Business Model Generation:</w:t>
      </w:r>
      <w:r w:rsidR="00925C47">
        <w:rPr>
          <w:rFonts w:ascii="Courier New" w:hAnsi="Courier New" w:cs="Courier New"/>
          <w:i/>
          <w:sz w:val="24"/>
          <w:szCs w:val="24"/>
        </w:rPr>
        <w:t xml:space="preserve"> </w:t>
      </w:r>
      <w:r w:rsidRPr="00F27B1C">
        <w:rPr>
          <w:rFonts w:ascii="Courier New" w:hAnsi="Courier New" w:cs="Courier New"/>
          <w:i/>
          <w:sz w:val="24"/>
          <w:szCs w:val="24"/>
        </w:rPr>
        <w:t>A Handbook for Visionaries, Game Changers, and Challengers</w:t>
      </w:r>
      <w:r w:rsidRPr="00F27B1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="00EB29E8">
        <w:rPr>
          <w:rFonts w:ascii="Courier New" w:hAnsi="Courier New" w:cs="Courier New"/>
          <w:sz w:val="24"/>
          <w:szCs w:val="24"/>
        </w:rPr>
        <w:t xml:space="preserve">Hoboken, NJ: </w:t>
      </w:r>
      <w:r w:rsidRPr="00F27B1C">
        <w:rPr>
          <w:rFonts w:ascii="Courier New" w:hAnsi="Courier New" w:cs="Courier New"/>
          <w:sz w:val="24"/>
          <w:szCs w:val="24"/>
        </w:rPr>
        <w:t>John Wiley &amp; Sons, 2010</w:t>
      </w:r>
      <w:r>
        <w:rPr>
          <w:rFonts w:ascii="Courier New" w:hAnsi="Courier New" w:cs="Courier New"/>
          <w:sz w:val="24"/>
          <w:szCs w:val="24"/>
        </w:rPr>
        <w:t>).</w:t>
      </w:r>
    </w:p>
    <w:p w14:paraId="6661012B" w14:textId="23DA94B5" w:rsidR="00435933" w:rsidRDefault="00BF55A1" w:rsidP="00435933">
      <w:pPr>
        <w:pStyle w:val="EndnoteText"/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CA1EF1">
        <w:rPr>
          <w:rFonts w:ascii="Courier New" w:hAnsi="Courier New" w:cs="Courier New"/>
          <w:sz w:val="24"/>
          <w:szCs w:val="24"/>
        </w:rPr>
        <w:t>9</w:t>
      </w:r>
      <w:r w:rsidR="00435933">
        <w:rPr>
          <w:rFonts w:ascii="Courier New" w:hAnsi="Courier New" w:cs="Courier New"/>
          <w:sz w:val="24"/>
          <w:szCs w:val="24"/>
        </w:rPr>
        <w:t xml:space="preserve">. </w:t>
      </w:r>
      <w:r w:rsidR="00435933" w:rsidRPr="00A5548B">
        <w:rPr>
          <w:rFonts w:ascii="Courier New" w:hAnsi="Courier New" w:cs="Courier New"/>
          <w:sz w:val="24"/>
          <w:szCs w:val="24"/>
        </w:rPr>
        <w:t xml:space="preserve">Steve Blank, </w:t>
      </w:r>
      <w:r w:rsidR="00435933" w:rsidRPr="00A5548B">
        <w:rPr>
          <w:rFonts w:ascii="Courier New" w:hAnsi="Courier New" w:cs="Courier New"/>
          <w:i/>
          <w:sz w:val="24"/>
          <w:szCs w:val="24"/>
        </w:rPr>
        <w:t>The Startup Owner’s Manual: The Step-by-Step Guide for Building a Great Company</w:t>
      </w:r>
      <w:r w:rsidR="00435933" w:rsidRPr="00A5548B">
        <w:rPr>
          <w:rFonts w:ascii="Courier New" w:hAnsi="Courier New" w:cs="Courier New"/>
          <w:sz w:val="24"/>
          <w:szCs w:val="24"/>
        </w:rPr>
        <w:t xml:space="preserve"> (</w:t>
      </w:r>
      <w:r w:rsidR="00EB29E8">
        <w:rPr>
          <w:rFonts w:ascii="Courier New" w:hAnsi="Courier New" w:cs="Courier New"/>
          <w:sz w:val="24"/>
          <w:szCs w:val="24"/>
        </w:rPr>
        <w:t>Pescadero, C</w:t>
      </w:r>
      <w:r w:rsidR="00DE2631">
        <w:rPr>
          <w:rFonts w:ascii="Courier New" w:hAnsi="Courier New" w:cs="Courier New"/>
          <w:sz w:val="24"/>
          <w:szCs w:val="24"/>
        </w:rPr>
        <w:t>A</w:t>
      </w:r>
      <w:r w:rsidR="00EB29E8">
        <w:rPr>
          <w:rFonts w:ascii="Courier New" w:hAnsi="Courier New" w:cs="Courier New"/>
          <w:sz w:val="24"/>
          <w:szCs w:val="24"/>
        </w:rPr>
        <w:t xml:space="preserve">: </w:t>
      </w:r>
      <w:r w:rsidR="00435933" w:rsidRPr="00A5548B">
        <w:rPr>
          <w:rFonts w:ascii="Courier New" w:hAnsi="Courier New" w:cs="Courier New"/>
          <w:sz w:val="24"/>
          <w:szCs w:val="24"/>
        </w:rPr>
        <w:t>K&amp;S Ranch, 2012)</w:t>
      </w:r>
      <w:r w:rsidR="00435933">
        <w:rPr>
          <w:rFonts w:ascii="Courier New" w:hAnsi="Courier New" w:cs="Courier New"/>
          <w:sz w:val="24"/>
          <w:szCs w:val="24"/>
        </w:rPr>
        <w:t>.</w:t>
      </w:r>
    </w:p>
    <w:p w14:paraId="6661012C" w14:textId="77777777" w:rsidR="00435933" w:rsidRPr="00DE2631" w:rsidRDefault="00435933" w:rsidP="00435933">
      <w:pPr>
        <w:rPr>
          <w:rFonts w:ascii="Courier New" w:hAnsi="Courier New" w:cs="Courier New"/>
          <w:sz w:val="24"/>
        </w:rPr>
      </w:pPr>
    </w:p>
    <w:p w14:paraId="346343AB" w14:textId="45ED1F0C" w:rsidR="00DE2631" w:rsidRPr="00DE2631" w:rsidRDefault="00DE2631" w:rsidP="00435933">
      <w:pPr>
        <w:rPr>
          <w:rFonts w:ascii="Courier New" w:hAnsi="Courier New" w:cs="Courier New"/>
          <w:b/>
          <w:sz w:val="24"/>
        </w:rPr>
      </w:pPr>
      <w:r w:rsidRPr="00DE2631">
        <w:rPr>
          <w:rFonts w:ascii="Courier New" w:hAnsi="Courier New" w:cs="Courier New"/>
          <w:b/>
          <w:sz w:val="24"/>
        </w:rPr>
        <w:t>Biography</w:t>
      </w:r>
    </w:p>
    <w:p w14:paraId="6661012D" w14:textId="70F0BA35" w:rsidR="000F1AEB" w:rsidRPr="0036243E" w:rsidRDefault="000039C1" w:rsidP="0036243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Lt. Col.</w:t>
      </w:r>
      <w:r w:rsidRPr="003624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Thomas “</w:t>
      </w:r>
      <w:r w:rsidRPr="0036243E">
        <w:rPr>
          <w:rFonts w:ascii="Courier New" w:hAnsi="Courier New" w:cs="Courier New"/>
          <w:sz w:val="24"/>
          <w:szCs w:val="24"/>
        </w:rPr>
        <w:t>Bull</w:t>
      </w:r>
      <w:r>
        <w:rPr>
          <w:rFonts w:ascii="Courier New" w:hAnsi="Courier New" w:cs="Courier New"/>
          <w:sz w:val="24"/>
          <w:szCs w:val="24"/>
        </w:rPr>
        <w:t>”</w:t>
      </w:r>
      <w:r w:rsidRPr="0036243E">
        <w:rPr>
          <w:rFonts w:ascii="Courier New" w:hAnsi="Courier New" w:cs="Courier New"/>
          <w:sz w:val="24"/>
          <w:szCs w:val="24"/>
        </w:rPr>
        <w:t xml:space="preserve"> Holland, </w:t>
      </w:r>
      <w:r>
        <w:rPr>
          <w:rFonts w:ascii="Courier New" w:hAnsi="Courier New" w:cs="Courier New"/>
          <w:sz w:val="24"/>
          <w:szCs w:val="24"/>
        </w:rPr>
        <w:t>U.S. Army,</w:t>
      </w:r>
      <w:r w:rsidRPr="0036243E">
        <w:rPr>
          <w:rFonts w:ascii="Courier New" w:hAnsi="Courier New" w:cs="Courier New"/>
          <w:sz w:val="24"/>
          <w:szCs w:val="24"/>
        </w:rPr>
        <w:t xml:space="preserve"> is the </w:t>
      </w:r>
      <w:r>
        <w:rPr>
          <w:rFonts w:ascii="Courier New" w:hAnsi="Courier New" w:cs="Courier New"/>
          <w:sz w:val="24"/>
          <w:szCs w:val="24"/>
        </w:rPr>
        <w:t>d</w:t>
      </w:r>
      <w:r w:rsidRPr="0036243E">
        <w:rPr>
          <w:rFonts w:ascii="Courier New" w:hAnsi="Courier New" w:cs="Courier New"/>
          <w:sz w:val="24"/>
          <w:szCs w:val="24"/>
        </w:rPr>
        <w:t xml:space="preserve">eputy </w:t>
      </w:r>
      <w:r>
        <w:rPr>
          <w:rFonts w:ascii="Courier New" w:hAnsi="Courier New" w:cs="Courier New"/>
          <w:sz w:val="24"/>
          <w:szCs w:val="24"/>
        </w:rPr>
        <w:t>d</w:t>
      </w:r>
      <w:r w:rsidRPr="0036243E">
        <w:rPr>
          <w:rFonts w:ascii="Courier New" w:hAnsi="Courier New" w:cs="Courier New"/>
          <w:sz w:val="24"/>
          <w:szCs w:val="24"/>
        </w:rPr>
        <w:t xml:space="preserve">irector for </w:t>
      </w:r>
      <w:r>
        <w:rPr>
          <w:rFonts w:ascii="Courier New" w:hAnsi="Courier New" w:cs="Courier New"/>
          <w:sz w:val="24"/>
          <w:szCs w:val="24"/>
        </w:rPr>
        <w:t>s</w:t>
      </w:r>
      <w:r w:rsidRPr="0036243E">
        <w:rPr>
          <w:rFonts w:ascii="Courier New" w:hAnsi="Courier New" w:cs="Courier New"/>
          <w:sz w:val="24"/>
          <w:szCs w:val="24"/>
        </w:rPr>
        <w:t>upport, Security Assistance Directorate, Office of Security Cooperation-Iraq. He holds a BS from Virginia Tech</w:t>
      </w:r>
      <w:r w:rsidR="00371A1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and</w:t>
      </w:r>
      <w:r w:rsidRPr="0036243E">
        <w:rPr>
          <w:rFonts w:ascii="Courier New" w:hAnsi="Courier New" w:cs="Courier New"/>
          <w:sz w:val="24"/>
          <w:szCs w:val="24"/>
        </w:rPr>
        <w:t xml:space="preserve"> an MS and </w:t>
      </w:r>
      <w:r w:rsidR="00371A14">
        <w:rPr>
          <w:rFonts w:ascii="Courier New" w:hAnsi="Courier New" w:cs="Courier New"/>
          <w:sz w:val="24"/>
          <w:szCs w:val="24"/>
        </w:rPr>
        <w:t xml:space="preserve">a </w:t>
      </w:r>
      <w:r w:rsidRPr="0036243E">
        <w:rPr>
          <w:rFonts w:ascii="Courier New" w:hAnsi="Courier New" w:cs="Courier New"/>
          <w:sz w:val="24"/>
          <w:szCs w:val="24"/>
        </w:rPr>
        <w:t xml:space="preserve">PhD from the University of Missouri-Rolla. His assignments include service as an </w:t>
      </w:r>
      <w:r w:rsidR="00371A14">
        <w:rPr>
          <w:rFonts w:ascii="Courier New" w:hAnsi="Courier New" w:cs="Courier New"/>
          <w:sz w:val="24"/>
          <w:szCs w:val="24"/>
        </w:rPr>
        <w:t>a</w:t>
      </w:r>
      <w:r w:rsidRPr="0036243E">
        <w:rPr>
          <w:rFonts w:ascii="Courier New" w:hAnsi="Courier New" w:cs="Courier New"/>
          <w:sz w:val="24"/>
          <w:szCs w:val="24"/>
        </w:rPr>
        <w:t xml:space="preserve">ssistant </w:t>
      </w:r>
      <w:r w:rsidR="00371A14">
        <w:rPr>
          <w:rFonts w:ascii="Courier New" w:hAnsi="Courier New" w:cs="Courier New"/>
          <w:sz w:val="24"/>
          <w:szCs w:val="24"/>
        </w:rPr>
        <w:t>p</w:t>
      </w:r>
      <w:r w:rsidRPr="0036243E">
        <w:rPr>
          <w:rFonts w:ascii="Courier New" w:hAnsi="Courier New" w:cs="Courier New"/>
          <w:sz w:val="24"/>
          <w:szCs w:val="24"/>
        </w:rPr>
        <w:t xml:space="preserve">rofessor at the United States Air Force Academy and </w:t>
      </w:r>
      <w:r w:rsidR="00371A14">
        <w:rPr>
          <w:rFonts w:ascii="Courier New" w:hAnsi="Courier New" w:cs="Courier New"/>
          <w:sz w:val="24"/>
          <w:szCs w:val="24"/>
        </w:rPr>
        <w:t>s</w:t>
      </w:r>
      <w:r w:rsidRPr="0036243E">
        <w:rPr>
          <w:rFonts w:ascii="Courier New" w:hAnsi="Courier New" w:cs="Courier New"/>
          <w:sz w:val="24"/>
          <w:szCs w:val="24"/>
        </w:rPr>
        <w:t xml:space="preserve">taff </w:t>
      </w:r>
      <w:r w:rsidR="00371A14">
        <w:rPr>
          <w:rFonts w:ascii="Courier New" w:hAnsi="Courier New" w:cs="Courier New"/>
          <w:sz w:val="24"/>
          <w:szCs w:val="24"/>
        </w:rPr>
        <w:t>o</w:t>
      </w:r>
      <w:r w:rsidRPr="0036243E">
        <w:rPr>
          <w:rFonts w:ascii="Courier New" w:hAnsi="Courier New" w:cs="Courier New"/>
          <w:sz w:val="24"/>
          <w:szCs w:val="24"/>
        </w:rPr>
        <w:t>fficer on the Department of the Army Staff.</w:t>
      </w:r>
    </w:p>
    <w:sectPr w:rsidR="000F1AEB" w:rsidRPr="0036243E" w:rsidSect="009D2A3F">
      <w:footerReference w:type="default" r:id="rId11"/>
      <w:endnotePr>
        <w:numFmt w:val="decimal"/>
        <w:numStart w:val="13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09D62" w14:textId="77777777" w:rsidR="002E2631" w:rsidRDefault="002E2631" w:rsidP="004F54D9">
      <w:pPr>
        <w:spacing w:after="0" w:line="240" w:lineRule="auto"/>
      </w:pPr>
      <w:r>
        <w:separator/>
      </w:r>
    </w:p>
  </w:endnote>
  <w:endnote w:type="continuationSeparator" w:id="0">
    <w:p w14:paraId="594B44EB" w14:textId="77777777" w:rsidR="002E2631" w:rsidRDefault="002E2631" w:rsidP="004F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38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68307" w14:textId="2571AA34" w:rsidR="0012507C" w:rsidRDefault="00125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B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610133" w14:textId="77777777" w:rsidR="00435933" w:rsidRPr="00BF55A1" w:rsidRDefault="00435933">
    <w:pPr>
      <w:pStyle w:val="Footer"/>
      <w:rPr>
        <w:rFonts w:ascii="Courier New" w:hAnsi="Courier New" w:cs="Courier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C2F70" w14:textId="77777777" w:rsidR="002E2631" w:rsidRDefault="002E2631" w:rsidP="004F54D9">
      <w:pPr>
        <w:spacing w:after="0" w:line="240" w:lineRule="auto"/>
      </w:pPr>
      <w:r>
        <w:separator/>
      </w:r>
    </w:p>
  </w:footnote>
  <w:footnote w:type="continuationSeparator" w:id="0">
    <w:p w14:paraId="4307A232" w14:textId="77777777" w:rsidR="002E2631" w:rsidRDefault="002E2631" w:rsidP="004F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208"/>
    <w:multiLevelType w:val="hybridMultilevel"/>
    <w:tmpl w:val="4154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3DA8"/>
    <w:multiLevelType w:val="hybridMultilevel"/>
    <w:tmpl w:val="51F0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numStart w:val="1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F1"/>
    <w:rsid w:val="000039C1"/>
    <w:rsid w:val="00041CFA"/>
    <w:rsid w:val="00051C20"/>
    <w:rsid w:val="00066421"/>
    <w:rsid w:val="000F1AEB"/>
    <w:rsid w:val="001074C9"/>
    <w:rsid w:val="00115956"/>
    <w:rsid w:val="0012507C"/>
    <w:rsid w:val="0016024E"/>
    <w:rsid w:val="00166F6D"/>
    <w:rsid w:val="00167804"/>
    <w:rsid w:val="00173641"/>
    <w:rsid w:val="001748E6"/>
    <w:rsid w:val="00186962"/>
    <w:rsid w:val="001C5D9D"/>
    <w:rsid w:val="001F1FA1"/>
    <w:rsid w:val="00201B98"/>
    <w:rsid w:val="00292469"/>
    <w:rsid w:val="002C2620"/>
    <w:rsid w:val="002E2631"/>
    <w:rsid w:val="002F317F"/>
    <w:rsid w:val="003123FB"/>
    <w:rsid w:val="0032784F"/>
    <w:rsid w:val="003372B9"/>
    <w:rsid w:val="003545D7"/>
    <w:rsid w:val="00357AA0"/>
    <w:rsid w:val="0036243E"/>
    <w:rsid w:val="00371A14"/>
    <w:rsid w:val="003A010C"/>
    <w:rsid w:val="003B3A11"/>
    <w:rsid w:val="003E050E"/>
    <w:rsid w:val="004330AC"/>
    <w:rsid w:val="00435933"/>
    <w:rsid w:val="00457F82"/>
    <w:rsid w:val="004C6491"/>
    <w:rsid w:val="004E043D"/>
    <w:rsid w:val="004F54D9"/>
    <w:rsid w:val="00554D2B"/>
    <w:rsid w:val="00563400"/>
    <w:rsid w:val="0057001A"/>
    <w:rsid w:val="00571344"/>
    <w:rsid w:val="005E7B0E"/>
    <w:rsid w:val="005F32EB"/>
    <w:rsid w:val="00600BF1"/>
    <w:rsid w:val="00613AE0"/>
    <w:rsid w:val="006240F4"/>
    <w:rsid w:val="006243AE"/>
    <w:rsid w:val="006A4C74"/>
    <w:rsid w:val="007955AB"/>
    <w:rsid w:val="007B3DA3"/>
    <w:rsid w:val="007E4A1A"/>
    <w:rsid w:val="0082006D"/>
    <w:rsid w:val="00830945"/>
    <w:rsid w:val="0086679E"/>
    <w:rsid w:val="008726EF"/>
    <w:rsid w:val="008D4BA7"/>
    <w:rsid w:val="009036AF"/>
    <w:rsid w:val="00917EC0"/>
    <w:rsid w:val="00925C47"/>
    <w:rsid w:val="00932846"/>
    <w:rsid w:val="00943D85"/>
    <w:rsid w:val="00972E78"/>
    <w:rsid w:val="009D2A3F"/>
    <w:rsid w:val="009F4468"/>
    <w:rsid w:val="009F44A5"/>
    <w:rsid w:val="00A15D1D"/>
    <w:rsid w:val="00A40020"/>
    <w:rsid w:val="00A5548B"/>
    <w:rsid w:val="00A8139E"/>
    <w:rsid w:val="00A9381B"/>
    <w:rsid w:val="00AE2965"/>
    <w:rsid w:val="00B02E6C"/>
    <w:rsid w:val="00B237A8"/>
    <w:rsid w:val="00B42644"/>
    <w:rsid w:val="00B879AB"/>
    <w:rsid w:val="00BA3BA8"/>
    <w:rsid w:val="00BB7EC1"/>
    <w:rsid w:val="00BC447A"/>
    <w:rsid w:val="00BF55A1"/>
    <w:rsid w:val="00C0556A"/>
    <w:rsid w:val="00C44F87"/>
    <w:rsid w:val="00C47278"/>
    <w:rsid w:val="00C60C6B"/>
    <w:rsid w:val="00CA1EF1"/>
    <w:rsid w:val="00CB0494"/>
    <w:rsid w:val="00CB17AD"/>
    <w:rsid w:val="00D179C0"/>
    <w:rsid w:val="00D33E3F"/>
    <w:rsid w:val="00D411DD"/>
    <w:rsid w:val="00D4619D"/>
    <w:rsid w:val="00D46395"/>
    <w:rsid w:val="00D6373C"/>
    <w:rsid w:val="00D705FF"/>
    <w:rsid w:val="00D76C11"/>
    <w:rsid w:val="00DD295C"/>
    <w:rsid w:val="00DE2631"/>
    <w:rsid w:val="00E005FF"/>
    <w:rsid w:val="00E023FA"/>
    <w:rsid w:val="00E07D59"/>
    <w:rsid w:val="00E368C8"/>
    <w:rsid w:val="00E52A3A"/>
    <w:rsid w:val="00EA0EB8"/>
    <w:rsid w:val="00EB29E8"/>
    <w:rsid w:val="00EC656E"/>
    <w:rsid w:val="00F27B1C"/>
    <w:rsid w:val="00F27C1F"/>
    <w:rsid w:val="00F42D0F"/>
    <w:rsid w:val="00FE0D9D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00EE"/>
  <w15:docId w15:val="{87950957-236E-4E7D-A44F-D50E304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0BF1"/>
    <w:rPr>
      <w:b/>
      <w:bCs/>
    </w:rPr>
  </w:style>
  <w:style w:type="paragraph" w:styleId="NormalWeb">
    <w:name w:val="Normal (Web)"/>
    <w:basedOn w:val="Normal"/>
    <w:uiPriority w:val="99"/>
    <w:unhideWhenUsed/>
    <w:rsid w:val="00600BF1"/>
    <w:pPr>
      <w:spacing w:after="171" w:line="37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4F54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54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54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5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5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33"/>
  </w:style>
  <w:style w:type="paragraph" w:styleId="Footer">
    <w:name w:val="footer"/>
    <w:basedOn w:val="Normal"/>
    <w:link w:val="FooterChar"/>
    <w:uiPriority w:val="99"/>
    <w:unhideWhenUsed/>
    <w:rsid w:val="0043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33"/>
  </w:style>
  <w:style w:type="paragraph" w:customStyle="1" w:styleId="Body">
    <w:name w:val="Body"/>
    <w:rsid w:val="00F27C1F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27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C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7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89a9cc1-ea31-4b90-9a73-14526e994edd">DePuy Writing Contest</Document_x0020_Type>
    <Document_x0020_Date xmlns="e89a9cc1-ea31-4b90-9a73-14526e994edd">2017-09-07T05:00:00+00:00</Document_x0020_Date>
    <Year xmlns="e89a9cc1-ea31-4b90-9a73-14526e994edd">2017</Year>
    <TaxCatchAll xmlns="bc8808b4-2853-4c8a-bb1c-f777666a845b"/>
    <Month_x0020_of_x0020_Publication xmlns="e89a9cc1-ea31-4b90-9a73-14526e994edd">Nov-Dec</Month_x0020_of_x0020_Publication>
    <Production_x0020_Stage xmlns="e89a9cc1-ea31-4b90-9a73-14526e994edd">Final Document</Production_x0020_Stage>
    <Back_x0020_of_x0020_Book xmlns="e89a9cc1-ea31-4b90-9a73-14526e994e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95BCA77D52D4D835064F8C7D346E8" ma:contentTypeVersion="13" ma:contentTypeDescription="Create a new document." ma:contentTypeScope="" ma:versionID="a365b17c27928509247997c4b97890a6">
  <xsd:schema xmlns:xsd="http://www.w3.org/2001/XMLSchema" xmlns:xs="http://www.w3.org/2001/XMLSchema" xmlns:p="http://schemas.microsoft.com/office/2006/metadata/properties" xmlns:ns2="e89a9cc1-ea31-4b90-9a73-14526e994edd" xmlns:ns3="bc8808b4-2853-4c8a-bb1c-f777666a845b" targetNamespace="http://schemas.microsoft.com/office/2006/metadata/properties" ma:root="true" ma:fieldsID="e6c3204e40e87d007fd83a613c2cfcb2" ns2:_="" ns3:_="">
    <xsd:import namespace="e89a9cc1-ea31-4b90-9a73-14526e994edd"/>
    <xsd:import namespace="bc8808b4-2853-4c8a-bb1c-f777666a845b"/>
    <xsd:element name="properties">
      <xsd:complexType>
        <xsd:sequence>
          <xsd:element name="documentManagement">
            <xsd:complexType>
              <xsd:all>
                <xsd:element ref="ns2:Production_x0020_Stage" minOccurs="0"/>
                <xsd:element ref="ns2:Year" minOccurs="0"/>
                <xsd:element ref="ns2:Month_x0020_of_x0020_Publication" minOccurs="0"/>
                <xsd:element ref="ns2:Back_x0020_of_x0020_Book" minOccurs="0"/>
                <xsd:element ref="ns2:Document_x0020_Type" minOccurs="0"/>
                <xsd:element ref="ns3:TaxCatchAll" minOccurs="0"/>
                <xsd:element ref="ns2:Document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a9cc1-ea31-4b90-9a73-14526e994edd" elementFormDefault="qualified">
    <xsd:import namespace="http://schemas.microsoft.com/office/2006/documentManagement/types"/>
    <xsd:import namespace="http://schemas.microsoft.com/office/infopath/2007/PartnerControls"/>
    <xsd:element name="Production_x0020_Stage" ma:index="8" nillable="true" ma:displayName="Production Stage" ma:description="Choose the Production Stage of the document:" ma:format="Dropdown" ma:internalName="Production_x0020_Stage">
      <xsd:simpleType>
        <xsd:restriction base="dms:Choice">
          <xsd:enumeration value="Backup"/>
          <xsd:enumeration value="Final Document"/>
          <xsd:enumeration value="Original Manuscript"/>
          <xsd:enumeration value="PDF Galley"/>
          <xsd:enumeration value="Working Document"/>
        </xsd:restriction>
      </xsd:simpleType>
    </xsd:element>
    <xsd:element name="Year" ma:index="9" nillable="true" ma:displayName="Year" ma:description="Select the year:" ma:format="Dropdown" ma:internalName="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onth_x0020_of_x0020_Publication" ma:index="10" nillable="true" ma:displayName="Month of Publication" ma:description="Choose month of publication:" ma:format="Dropdown" ma:internalName="Month_x0020_of_x0020_Publication">
      <xsd:simpleType>
        <xsd:restriction base="dms:Choice">
          <xsd:enumeration value="April"/>
          <xsd:enumeration value="August"/>
          <xsd:enumeration value="December"/>
          <xsd:enumeration value="February"/>
          <xsd:enumeration value="Index"/>
          <xsd:enumeration value="Jan-Feb"/>
          <xsd:enumeration value="January"/>
          <xsd:enumeration value="Jul-Aug"/>
          <xsd:enumeration value="July"/>
          <xsd:enumeration value="June"/>
          <xsd:enumeration value="Mar-Apr"/>
          <xsd:enumeration value="March"/>
          <xsd:enumeration value="May"/>
          <xsd:enumeration value="May-Jun"/>
          <xsd:enumeration value="Nov-Dec"/>
          <xsd:enumeration value="November"/>
          <xsd:enumeration value="October"/>
          <xsd:enumeration value="Other"/>
          <xsd:enumeration value="Sep-Oct"/>
          <xsd:enumeration value="September"/>
          <xsd:enumeration value="Special Edition"/>
        </xsd:restriction>
      </xsd:simpleType>
    </xsd:element>
    <xsd:element name="Back_x0020_of_x0020_Book" ma:index="11" nillable="true" ma:displayName="Back of Book" ma:description="Choose where this item goes in the Back of the Book:" ma:format="Dropdown" ma:internalName="Back_x0020_of_x0020_Book">
      <xsd:simpleType>
        <xsd:restriction base="dms:Choice">
          <xsd:enumeration value="Book Reviews"/>
          <xsd:enumeration value="Letters"/>
          <xsd:enumeration value="Corrections"/>
        </xsd:restriction>
      </xsd:simpleType>
    </xsd:element>
    <xsd:element name="Document_x0020_Type" ma:index="12" nillable="true" ma:displayName="Document Type" ma:description="Choose the type of document:" ma:format="Dropdown" ma:internalName="Document_x0020_Type">
      <xsd:simpleType>
        <xsd:restriction base="dms:Choice">
          <xsd:enumeration value="AAOP"/>
          <xsd:enumeration value="Author Biography"/>
          <xsd:enumeration value="DePuy Writing Contest"/>
          <xsd:enumeration value="JML"/>
          <xsd:enumeration value="Online Exclusive"/>
          <xsd:enumeration value="Photos"/>
          <xsd:enumeration value="Professional Reader"/>
        </xsd:restriction>
      </xsd:simpleType>
    </xsd:element>
    <xsd:element name="Document_x0020_Date" ma:index="14" ma:displayName="Document Date" ma:default="[today]" ma:format="DateOnly" ma:internalName="Docum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808b4-2853-4c8a-bb1c-f777666a84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6e0c8e-e44c-4b62-ab41-07b1b737f15b}" ma:internalName="TaxCatchAll" ma:showField="CatchAllData" ma:web="bc8808b4-2853-4c8a-bb1c-f777666a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E3B5-0AFE-49C7-8892-678425B69400}">
  <ds:schemaRefs>
    <ds:schemaRef ds:uri="http://schemas.microsoft.com/office/2006/metadata/properties"/>
    <ds:schemaRef ds:uri="http://schemas.microsoft.com/office/infopath/2007/PartnerControls"/>
    <ds:schemaRef ds:uri="e89a9cc1-ea31-4b90-9a73-14526e994edd"/>
    <ds:schemaRef ds:uri="bc8808b4-2853-4c8a-bb1c-f777666a845b"/>
  </ds:schemaRefs>
</ds:datastoreItem>
</file>

<file path=customXml/itemProps2.xml><?xml version="1.0" encoding="utf-8"?>
<ds:datastoreItem xmlns:ds="http://schemas.openxmlformats.org/officeDocument/2006/customXml" ds:itemID="{ED30FD49-8975-47F5-B6B4-C5269E63D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A95D7-6DBD-42B5-943E-AD76CE54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a9cc1-ea31-4b90-9a73-14526e994edd"/>
    <ds:schemaRef ds:uri="bc8808b4-2853-4c8a-bb1c-f777666a8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F52E9-C720-41A0-BDE9-F9B2F3E8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we Ought to Write Requirements</vt:lpstr>
    </vt:vector>
  </TitlesOfParts>
  <Company>U S Department of State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 Ought to Write Requirements</dc:title>
  <dc:creator>"%username%"</dc:creator>
  <cp:lastModifiedBy>Buczkowski, Jeffrey Mr CIV USA TRADOC</cp:lastModifiedBy>
  <cp:revision>3</cp:revision>
  <dcterms:created xsi:type="dcterms:W3CDTF">2018-02-13T17:13:00Z</dcterms:created>
  <dcterms:modified xsi:type="dcterms:W3CDTF">2018-02-13T17:14:00Z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0x010100FBC95BCA77D52D4D835064F8C7D346E8</vt:lpwstr>
  </property>
</Properties>
</file>